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C32BF" w14:textId="53160B7B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2C5D44">
        <w:rPr>
          <w:rFonts w:cs="Arial"/>
          <w:b/>
          <w:sz w:val="24"/>
          <w:szCs w:val="24"/>
        </w:rPr>
        <w:t>94</w:t>
      </w:r>
      <w:r w:rsidR="00EA48B2">
        <w:rPr>
          <w:rFonts w:cs="Arial"/>
          <w:b/>
          <w:sz w:val="24"/>
          <w:szCs w:val="24"/>
        </w:rPr>
        <w:t>-e-</w:t>
      </w:r>
      <w:r w:rsidR="002C5D44">
        <w:rPr>
          <w:rFonts w:cs="Arial"/>
          <w:b/>
          <w:sz w:val="24"/>
          <w:szCs w:val="24"/>
        </w:rPr>
        <w:t>bis</w:t>
      </w:r>
      <w:r>
        <w:rPr>
          <w:rFonts w:cs="Arial"/>
          <w:b/>
          <w:sz w:val="24"/>
          <w:szCs w:val="24"/>
        </w:rPr>
        <w:tab/>
      </w:r>
      <w:r w:rsidR="007F13D1" w:rsidRPr="007F13D1">
        <w:rPr>
          <w:rFonts w:cs="Arial"/>
          <w:b/>
          <w:sz w:val="24"/>
          <w:szCs w:val="24"/>
        </w:rPr>
        <w:t>R4-2003236</w:t>
      </w:r>
    </w:p>
    <w:p w14:paraId="17B3C09A" w14:textId="00E03CF7" w:rsidR="00820BC5" w:rsidRPr="0087636F" w:rsidRDefault="00AC057A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 20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65F0870B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779AC8D" w14:textId="79FB2DF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  <w:r w:rsidR="00EE0DEA">
        <w:rPr>
          <w:sz w:val="22"/>
        </w:rPr>
        <w:t>, Skyworks</w:t>
      </w:r>
      <w:r w:rsidR="007B6707">
        <w:rPr>
          <w:sz w:val="22"/>
        </w:rPr>
        <w:t xml:space="preserve"> Solutions</w:t>
      </w:r>
      <w:r w:rsidR="00EE0DEA">
        <w:rPr>
          <w:sz w:val="22"/>
        </w:rPr>
        <w:t>, Inc.</w:t>
      </w:r>
    </w:p>
    <w:p w14:paraId="71DD8B37" w14:textId="677A0D8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55280B">
        <w:rPr>
          <w:sz w:val="22"/>
        </w:rPr>
        <w:t xml:space="preserve">Sub-block edges </w:t>
      </w:r>
      <w:r w:rsidR="007F13D1">
        <w:rPr>
          <w:sz w:val="22"/>
        </w:rPr>
        <w:t xml:space="preserve">and ACLR MBW </w:t>
      </w:r>
      <w:r w:rsidR="00046F30">
        <w:rPr>
          <w:sz w:val="22"/>
        </w:rPr>
        <w:t xml:space="preserve">for </w:t>
      </w:r>
      <w:r w:rsidR="0055280B">
        <w:rPr>
          <w:sz w:val="22"/>
        </w:rPr>
        <w:t xml:space="preserve">FR1 </w:t>
      </w:r>
      <w:r w:rsidR="00046F30">
        <w:rPr>
          <w:sz w:val="22"/>
        </w:rPr>
        <w:t xml:space="preserve">contiguous </w:t>
      </w:r>
      <w:r w:rsidR="0055280B">
        <w:rPr>
          <w:sz w:val="22"/>
        </w:rPr>
        <w:t xml:space="preserve">UL </w:t>
      </w:r>
      <w:r w:rsidR="00046F30">
        <w:rPr>
          <w:sz w:val="22"/>
        </w:rPr>
        <w:t>CA</w:t>
      </w:r>
    </w:p>
    <w:bookmarkEnd w:id="1"/>
    <w:p w14:paraId="5B32AFB2" w14:textId="161E0F3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205D7">
        <w:t>6.13.1.3</w:t>
      </w:r>
    </w:p>
    <w:p w14:paraId="428B1D1A" w14:textId="1A3AD381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C5752">
        <w:rPr>
          <w:sz w:val="22"/>
        </w:rPr>
        <w:t>Approval</w:t>
      </w:r>
    </w:p>
    <w:p w14:paraId="6DE83553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052AAEA" w14:textId="23B634AB" w:rsidR="00DF2E6B" w:rsidRDefault="0097609B" w:rsidP="000B5E8E">
      <w:r>
        <w:t xml:space="preserve">Previously, it has been observed for FR1 contiguous UL CA that the current formulas in </w:t>
      </w:r>
      <w:r w:rsidR="00FF3B84" w:rsidRPr="00FF3B84">
        <w:t>38.101-1 V16.</w:t>
      </w:r>
      <w:r w:rsidR="00C66478">
        <w:t>3</w:t>
      </w:r>
      <w:r w:rsidR="00FF3B84" w:rsidRPr="00FF3B84">
        <w:t>.0</w:t>
      </w:r>
      <w:r>
        <w:t xml:space="preserve"> </w:t>
      </w:r>
      <w:r w:rsidR="00F47815">
        <w:t xml:space="preserve">may result in aggregated channel bandwidths greater than the sum of CC bandwidths. </w:t>
      </w:r>
      <w:r w:rsidR="008D1665">
        <w:t xml:space="preserve">This is not acceptable. </w:t>
      </w:r>
      <w:r w:rsidR="00F725DC">
        <w:t xml:space="preserve">In this contribution, we propose new, simple formulas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="00F725DC" w:rsidRPr="00864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 w:rsidR="00F725DC">
        <w:t xml:space="preserve"> </w:t>
      </w:r>
      <w:r w:rsidR="00966970">
        <w:t xml:space="preserve">to </w:t>
      </w:r>
      <w:r w:rsidR="00B365C5">
        <w:t>solve this problem. The resulting aggregated channel bandwidth is independent of the applied SCS values.</w:t>
      </w:r>
    </w:p>
    <w:p w14:paraId="65513960" w14:textId="6CF5EFFE" w:rsidR="00CC1396" w:rsidRDefault="007E54F6" w:rsidP="000B5E8E">
      <w:r>
        <w:t xml:space="preserve">The </w:t>
      </w:r>
      <w:r w:rsidR="00306EBE">
        <w:t xml:space="preserve">CA </w:t>
      </w:r>
      <w:r>
        <w:t xml:space="preserve">channel spacing depends on the operating band, which makes it </w:t>
      </w:r>
      <w:r w:rsidR="00B1753D">
        <w:t>hard</w:t>
      </w:r>
      <w:r>
        <w:t xml:space="preserve"> to find MPR values that </w:t>
      </w:r>
      <w:r w:rsidR="0078436C">
        <w:t>are guarante</w:t>
      </w:r>
      <w:r w:rsidR="00CA30CE">
        <w:t>e</w:t>
      </w:r>
      <w:r w:rsidR="0078436C">
        <w:t xml:space="preserve">d to </w:t>
      </w:r>
      <w:r>
        <w:t>be valid for all operating bands.</w:t>
      </w:r>
      <w:r w:rsidR="00D274A6">
        <w:t xml:space="preserve"> </w:t>
      </w:r>
      <w:r w:rsidR="00502162">
        <w:t xml:space="preserve">We propose a way to find sufficient MPR values </w:t>
      </w:r>
      <w:r w:rsidR="008D3CFE">
        <w:t>without simulating operating bands separately</w:t>
      </w:r>
      <w:r w:rsidR="00502162">
        <w:t>.</w:t>
      </w:r>
    </w:p>
    <w:p w14:paraId="546F4984" w14:textId="525E0CCA" w:rsidR="00CC1396" w:rsidRDefault="00A064ED" w:rsidP="000B5E8E">
      <w:r>
        <w:t xml:space="preserve">Previously proposed formulas for CA ACLR measurement bandwidth may not cover all RBs in all cases. </w:t>
      </w:r>
      <w:r w:rsidR="00812A6A">
        <w:t>W</w:t>
      </w:r>
      <w:r w:rsidR="005E7816">
        <w:t xml:space="preserve">e propose </w:t>
      </w:r>
      <w:r w:rsidR="00F625AB">
        <w:t xml:space="preserve">new </w:t>
      </w:r>
      <w:r w:rsidR="005E7816">
        <w:t xml:space="preserve">formulas for the CA ACLR measurement bandwidth and frequency offset. </w:t>
      </w:r>
      <w:r w:rsidR="008049D8">
        <w:t>T</w:t>
      </w:r>
      <w:r w:rsidR="002A5E4D">
        <w:t>hese are independent of the used SCS</w:t>
      </w:r>
      <w:r w:rsidR="008049D8">
        <w:t xml:space="preserve"> and guarantee that all RBs are covered </w:t>
      </w:r>
      <w:r w:rsidR="006B1618">
        <w:t>in</w:t>
      </w:r>
      <w:r w:rsidR="008049D8">
        <w:t xml:space="preserve"> the ACLR measurement.</w:t>
      </w:r>
    </w:p>
    <w:p w14:paraId="7E738CED" w14:textId="77777777" w:rsidR="000A6A9A" w:rsidRDefault="000A6A9A" w:rsidP="000A6A9A">
      <w:pPr>
        <w:pStyle w:val="Heading1"/>
      </w:pPr>
      <w:r>
        <w:t>2</w:t>
      </w:r>
      <w:r>
        <w:tab/>
        <w:t>Discussion</w:t>
      </w:r>
    </w:p>
    <w:p w14:paraId="31F24999" w14:textId="17ADD14F" w:rsidR="000A6A9A" w:rsidRDefault="000A6A9A" w:rsidP="000A6A9A">
      <w:pPr>
        <w:pStyle w:val="Heading2"/>
      </w:pPr>
      <w:r>
        <w:t>2.1</w:t>
      </w:r>
      <w:r>
        <w:tab/>
      </w:r>
      <w:r w:rsidR="00512551">
        <w:t>Sub-block edges</w:t>
      </w:r>
    </w:p>
    <w:p w14:paraId="2287B556" w14:textId="617B16B3" w:rsidR="00EB4CBD" w:rsidRDefault="00EB4CBD" w:rsidP="000B5E8E">
      <w:r>
        <w:t>In [1]</w:t>
      </w:r>
      <w:r w:rsidR="00546470">
        <w:t xml:space="preserve">, we pointed out problems with the current formulas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="00546470" w:rsidRPr="00864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 w:rsidR="00546470">
        <w:t xml:space="preserve"> defined in TS 38.101-1 subclause </w:t>
      </w:r>
      <w:r w:rsidR="00546470" w:rsidRPr="00546470">
        <w:t>5.3A.3</w:t>
      </w:r>
      <w:r w:rsidR="00546470">
        <w:t>.</w:t>
      </w:r>
      <w:r w:rsidR="001604A3">
        <w:t xml:space="preserve"> </w:t>
      </w:r>
      <w:r w:rsidR="00EA034E">
        <w:t>The aggregated channel bandwidth may exceed the sum of channel bandwidth, which is not acceptable.</w:t>
      </w:r>
    </w:p>
    <w:p w14:paraId="557E94A1" w14:textId="28460DAF" w:rsidR="00C81190" w:rsidRDefault="004B6978" w:rsidP="000B5E8E">
      <w:r>
        <w:t>TS 38.101-1 subclause 5.4A.1 specifies the nominal channel spacing as follows</w:t>
      </w:r>
      <w:r w:rsidR="003E1BDB">
        <w:t>:</w:t>
      </w:r>
    </w:p>
    <w:p w14:paraId="698E5F68" w14:textId="77777777" w:rsidR="004B6978" w:rsidRPr="004B6978" w:rsidRDefault="004B6978" w:rsidP="004B6978">
      <w:pPr>
        <w:pStyle w:val="Heading3"/>
        <w:ind w:left="568" w:firstLine="0"/>
        <w:rPr>
          <w:color w:val="3B3838" w:themeColor="background2" w:themeShade="40"/>
        </w:rPr>
      </w:pPr>
      <w:bookmarkStart w:id="2" w:name="_Toc21344217"/>
      <w:bookmarkStart w:id="3" w:name="_Toc29801701"/>
      <w:bookmarkStart w:id="4" w:name="_Toc29802125"/>
      <w:bookmarkStart w:id="5" w:name="_Toc29802750"/>
      <w:r w:rsidRPr="004B6978">
        <w:rPr>
          <w:color w:val="3B3838" w:themeColor="background2" w:themeShade="40"/>
        </w:rPr>
        <w:t>5.4A.1</w:t>
      </w:r>
      <w:r w:rsidRPr="004B6978">
        <w:rPr>
          <w:color w:val="3B3838" w:themeColor="background2" w:themeShade="40"/>
        </w:rPr>
        <w:tab/>
        <w:t>Channel spacing for CA</w:t>
      </w:r>
      <w:bookmarkEnd w:id="2"/>
      <w:bookmarkEnd w:id="3"/>
      <w:bookmarkEnd w:id="4"/>
      <w:bookmarkEnd w:id="5"/>
    </w:p>
    <w:p w14:paraId="15EF0B80" w14:textId="77777777" w:rsidR="004B6978" w:rsidRPr="004B6978" w:rsidRDefault="004B6978" w:rsidP="004B6978">
      <w:pPr>
        <w:ind w:left="568"/>
        <w:rPr>
          <w:rFonts w:eastAsia="Yu Mincho"/>
          <w:color w:val="3B3838" w:themeColor="background2" w:themeShade="40"/>
        </w:rPr>
      </w:pPr>
      <w:r w:rsidRPr="004B6978">
        <w:rPr>
          <w:rFonts w:eastAsia="Yu Mincho"/>
          <w:color w:val="3B3838" w:themeColor="background2" w:themeShade="40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14:paraId="0E98E480" w14:textId="77777777" w:rsidR="004B6978" w:rsidRPr="004B6978" w:rsidRDefault="004B6978" w:rsidP="004B6978">
      <w:pPr>
        <w:ind w:left="568"/>
        <w:rPr>
          <w:rFonts w:eastAsia="Yu Mincho"/>
          <w:color w:val="3B3838" w:themeColor="background2" w:themeShade="40"/>
        </w:rPr>
      </w:pPr>
      <w:r w:rsidRPr="004B6978">
        <w:rPr>
          <w:rFonts w:eastAsia="Yu Mincho"/>
          <w:color w:val="3B3838" w:themeColor="background2" w:themeShade="40"/>
        </w:rPr>
        <w:t>For NR operating bands with a 100 kHz channel raster:</w:t>
      </w:r>
    </w:p>
    <w:p w14:paraId="1A82C26B" w14:textId="77777777" w:rsidR="004B6978" w:rsidRPr="004B6978" w:rsidRDefault="004B6978" w:rsidP="004B6978">
      <w:pPr>
        <w:pStyle w:val="EQ"/>
        <w:ind w:left="568"/>
        <w:jc w:val="center"/>
        <w:rPr>
          <w:rFonts w:eastAsia="Yu Mincho"/>
          <w:color w:val="3B3838" w:themeColor="background2" w:themeShade="40"/>
        </w:rPr>
      </w:pPr>
      <w:r w:rsidRPr="004B6978">
        <w:rPr>
          <w:rFonts w:hint="eastAsia"/>
          <w:color w:val="3B3838" w:themeColor="background2" w:themeShade="40"/>
          <w:position w:val="-36"/>
          <w:lang w:eastAsia="zh-CN"/>
        </w:rPr>
        <w:object w:dxaOrig="8344" w:dyaOrig="839" w14:anchorId="201BF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80.75pt;height:35.7pt;mso-position-horizontal-relative:page;mso-position-vertical-relative:page" o:ole="">
            <v:imagedata r:id="rId8" o:title=""/>
          </v:shape>
          <o:OLEObject Type="Embed" ProgID="Equation.3" ShapeID="对象 1" DrawAspect="Content" ObjectID="_1648073785" r:id="rId9">
            <o:FieldCodes>\* MERGEFORMAT</o:FieldCodes>
          </o:OLEObject>
        </w:object>
      </w:r>
    </w:p>
    <w:p w14:paraId="25693407" w14:textId="77777777" w:rsidR="004B6978" w:rsidRPr="004B6978" w:rsidRDefault="004B6978" w:rsidP="004B6978">
      <w:pPr>
        <w:ind w:left="568"/>
        <w:rPr>
          <w:color w:val="3B3838" w:themeColor="background2" w:themeShade="40"/>
        </w:rPr>
      </w:pPr>
      <w:r w:rsidRPr="004B6978">
        <w:rPr>
          <w:color w:val="3B3838" w:themeColor="background2" w:themeShade="40"/>
        </w:rPr>
        <w:t>while for NR operating bands without a 100 kHz channel raster:</w:t>
      </w:r>
    </w:p>
    <w:p w14:paraId="4FFDAA03" w14:textId="77777777" w:rsidR="004B6978" w:rsidRPr="004B6978" w:rsidRDefault="004B6978" w:rsidP="004B6978">
      <w:pPr>
        <w:pStyle w:val="EQ"/>
        <w:ind w:left="568"/>
        <w:jc w:val="center"/>
        <w:rPr>
          <w:color w:val="3B3838" w:themeColor="background2" w:themeShade="40"/>
        </w:rPr>
      </w:pPr>
      <w:r w:rsidRPr="004B6978">
        <w:rPr>
          <w:rFonts w:hint="eastAsia"/>
          <w:color w:val="3B3838" w:themeColor="background2" w:themeShade="40"/>
          <w:position w:val="-38"/>
          <w:lang w:eastAsia="zh-CN"/>
        </w:rPr>
        <w:object w:dxaOrig="9464" w:dyaOrig="879" w14:anchorId="6CF40C72">
          <v:shape id="对象 2" o:spid="_x0000_i1026" type="#_x0000_t75" alt="" style="width:6in;height:35.7pt;mso-position-horizontal-relative:page;mso-position-vertical-relative:page" o:ole="">
            <v:fill o:detectmouseclick="t"/>
            <v:imagedata r:id="rId10" o:title=""/>
          </v:shape>
          <o:OLEObject Type="Embed" ProgID="Equation.3" ShapeID="对象 2" DrawAspect="Content" ObjectID="_1648073786" r:id="rId11">
            <o:FieldCodes>\* MERGEFORMAT</o:FieldCodes>
          </o:OLEObject>
        </w:object>
      </w:r>
    </w:p>
    <w:p w14:paraId="51701B24" w14:textId="77777777" w:rsidR="004B6978" w:rsidRPr="004B6978" w:rsidRDefault="004B6978" w:rsidP="004B6978">
      <w:pPr>
        <w:ind w:left="568"/>
        <w:rPr>
          <w:color w:val="3B3838" w:themeColor="background2" w:themeShade="40"/>
          <w:lang w:val="en-US" w:eastAsia="zh-CN"/>
        </w:rPr>
      </w:pPr>
      <w:r w:rsidRPr="004B6978">
        <w:rPr>
          <w:rFonts w:hint="eastAsia"/>
          <w:color w:val="3B3838" w:themeColor="background2" w:themeShade="40"/>
          <w:lang w:val="en-US" w:eastAsia="zh-CN"/>
        </w:rPr>
        <w:t>with</w:t>
      </w:r>
    </w:p>
    <w:p w14:paraId="54CE1D0D" w14:textId="77777777" w:rsidR="004B6978" w:rsidRPr="004B6978" w:rsidRDefault="004B6978" w:rsidP="004B6978">
      <w:pPr>
        <w:pStyle w:val="EQ"/>
        <w:ind w:left="568"/>
        <w:jc w:val="center"/>
        <w:rPr>
          <w:color w:val="3B3838" w:themeColor="background2" w:themeShade="40"/>
        </w:rPr>
      </w:pPr>
      <w:r w:rsidRPr="004B6978">
        <w:rPr>
          <w:color w:val="3B3838" w:themeColor="background2" w:themeShade="40"/>
          <w:lang w:val="en-US" w:eastAsia="zh-CN"/>
        </w:rPr>
        <w:t>n = µ</w:t>
      </w:r>
      <w:r w:rsidRPr="004B6978">
        <w:rPr>
          <w:color w:val="3B3838" w:themeColor="background2" w:themeShade="40"/>
          <w:vertAlign w:val="subscript"/>
          <w:lang w:val="en-US" w:eastAsia="zh-CN"/>
        </w:rPr>
        <w:t>0</w:t>
      </w:r>
    </w:p>
    <w:p w14:paraId="023D67EC" w14:textId="77777777" w:rsidR="004B6978" w:rsidRPr="001C0CC4" w:rsidRDefault="004B6978" w:rsidP="004B6978">
      <w:pPr>
        <w:ind w:left="568"/>
      </w:pPr>
      <w:r w:rsidRPr="004B6978">
        <w:rPr>
          <w:color w:val="3B3838" w:themeColor="background2" w:themeShade="40"/>
        </w:rPr>
        <w:t>where BW</w:t>
      </w:r>
      <w:r w:rsidRPr="004B6978">
        <w:rPr>
          <w:color w:val="3B3838" w:themeColor="background2" w:themeShade="40"/>
          <w:vertAlign w:val="subscript"/>
        </w:rPr>
        <w:t>Channel(1)</w:t>
      </w:r>
      <w:r w:rsidRPr="004B6978">
        <w:rPr>
          <w:color w:val="3B3838" w:themeColor="background2" w:themeShade="40"/>
        </w:rPr>
        <w:t xml:space="preserve"> and BW</w:t>
      </w:r>
      <w:r w:rsidRPr="004B6978">
        <w:rPr>
          <w:color w:val="3B3838" w:themeColor="background2" w:themeShade="40"/>
          <w:vertAlign w:val="subscript"/>
        </w:rPr>
        <w:t>Channel(2)</w:t>
      </w:r>
      <w:r w:rsidRPr="004B6978">
        <w:rPr>
          <w:color w:val="3B3838" w:themeColor="background2" w:themeShade="40"/>
        </w:rPr>
        <w:t xml:space="preserve"> are the channel bandwidths of the two respective NR component carriers according to Table 5.3.2-1 with values in MHz, μ</w:t>
      </w:r>
      <w:r w:rsidRPr="004B6978">
        <w:rPr>
          <w:color w:val="3B3838" w:themeColor="background2" w:themeShade="40"/>
          <w:vertAlign w:val="subscript"/>
        </w:rPr>
        <w:t>0</w:t>
      </w:r>
      <w:r w:rsidRPr="004B6978">
        <w:rPr>
          <w:color w:val="3B3838" w:themeColor="background2" w:themeShade="40"/>
        </w:rPr>
        <w:t xml:space="preserve">  is the largest μ value among the subcarrier spacing configurations supported in the operating band for both of the channel bandwidths according to Table 5.3.5-1 </w:t>
      </w:r>
      <w:r w:rsidRPr="004B6978">
        <w:rPr>
          <w:color w:val="3B3838" w:themeColor="background2" w:themeShade="40"/>
        </w:rPr>
        <w:lastRenderedPageBreak/>
        <w:t>and GB</w:t>
      </w:r>
      <w:r w:rsidRPr="004B6978">
        <w:rPr>
          <w:color w:val="3B3838" w:themeColor="background2" w:themeShade="40"/>
          <w:vertAlign w:val="subscript"/>
        </w:rPr>
        <w:t>Channel(i)</w:t>
      </w:r>
      <w:r w:rsidRPr="004B6978">
        <w:rPr>
          <w:color w:val="3B3838" w:themeColor="background2" w:themeShade="40"/>
        </w:rPr>
        <w:t xml:space="preserve"> is the minimum guard band for channel bandwidth i according to Table 5.3.3-1 for the said μ value with μ as defined in TS 38.211.</w:t>
      </w:r>
    </w:p>
    <w:p w14:paraId="4F342FD6" w14:textId="77777777" w:rsidR="004B6978" w:rsidRDefault="004B6978" w:rsidP="000B5E8E"/>
    <w:p w14:paraId="255635E0" w14:textId="44EACEDE" w:rsidR="0030075D" w:rsidRDefault="008C5176" w:rsidP="000B5E8E">
      <w:r>
        <w:t xml:space="preserve">Here,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GB</m:t>
                </m:r>
              </m:e>
              <m:sub>
                <m:r>
                  <w:rPr>
                    <w:rFonts w:ascii="Cambria Math" w:hAnsi="Cambria Math"/>
                  </w:rPr>
                  <m:t>Channel(1)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GB</m:t>
                </m:r>
              </m:e>
              <m:sub>
                <m:r>
                  <w:rPr>
                    <w:rFonts w:ascii="Cambria Math" w:hAnsi="Cambria Math"/>
                  </w:rPr>
                  <m:t>Channel(2)</m:t>
                </m:r>
              </m:sub>
            </m:sSub>
          </m:e>
        </m:d>
      </m:oMath>
      <w:r>
        <w:t xml:space="preserve"> is a guard exchange term. It reduces the channel spacing in order to make room for increasing the narrower outer CC guard to make the sub</w:t>
      </w:r>
      <w:r w:rsidR="007A1C7C">
        <w:t>-</w:t>
      </w:r>
      <w:r>
        <w:t xml:space="preserve">block guard widths equal. </w:t>
      </w:r>
    </w:p>
    <w:p w14:paraId="19F640F7" w14:textId="65B52A8D" w:rsidR="00E47878" w:rsidRDefault="007F13D1" w:rsidP="00A537FC">
      <w:pPr>
        <w:keepNext/>
      </w:pPr>
      <w:r>
        <w:t>TS 38.101-1 s</w:t>
      </w:r>
      <w:r w:rsidR="00E47878">
        <w:t xml:space="preserve">ubclause </w:t>
      </w:r>
      <w:r w:rsidR="00E47878" w:rsidRPr="00E47878">
        <w:t>5.3A.3</w:t>
      </w:r>
      <w:r w:rsidR="00E47878">
        <w:t xml:space="preserve"> currently specifies:</w:t>
      </w:r>
    </w:p>
    <w:p w14:paraId="19C526F7" w14:textId="77777777" w:rsidR="00E47878" w:rsidRPr="00A06377" w:rsidRDefault="00E47878" w:rsidP="00A06377">
      <w:pPr>
        <w:keepNext/>
        <w:keepLines/>
        <w:ind w:left="567"/>
        <w:rPr>
          <w:color w:val="3B3838" w:themeColor="background2" w:themeShade="40"/>
        </w:rPr>
      </w:pPr>
      <w:r w:rsidRPr="00A06377">
        <w:rPr>
          <w:color w:val="3B3838" w:themeColor="background2" w:themeShade="40"/>
        </w:rPr>
        <w:t>The lower and upper frequency offsets depend on the transmission bandwidth configurations of the lowest and highest assigned edge component carrier and are defined as</w:t>
      </w:r>
    </w:p>
    <w:p w14:paraId="3B7496E4" w14:textId="77777777" w:rsidR="00E47878" w:rsidRPr="00A06377" w:rsidRDefault="00E47878" w:rsidP="00A06377">
      <w:pPr>
        <w:pStyle w:val="EQ"/>
        <w:keepNext/>
        <w:ind w:left="567"/>
        <w:jc w:val="center"/>
        <w:rPr>
          <w:color w:val="3B3838" w:themeColor="background2" w:themeShade="40"/>
        </w:rPr>
      </w:pPr>
      <w:r w:rsidRPr="00A06377">
        <w:rPr>
          <w:color w:val="3B3838" w:themeColor="background2" w:themeShade="40"/>
        </w:rPr>
        <w:t>F</w:t>
      </w:r>
      <w:r w:rsidRPr="00A06377">
        <w:rPr>
          <w:color w:val="3B3838" w:themeColor="background2" w:themeShade="40"/>
          <w:vertAlign w:val="subscript"/>
        </w:rPr>
        <w:t xml:space="preserve">offset,low </w:t>
      </w:r>
      <w:r w:rsidRPr="00A06377">
        <w:rPr>
          <w:color w:val="3B3838" w:themeColor="background2" w:themeShade="40"/>
        </w:rPr>
        <w:t xml:space="preserve">= </w:t>
      </w:r>
      <w:r w:rsidRPr="00A06377">
        <w:rPr>
          <w:color w:val="3B3838" w:themeColor="background2" w:themeShade="40"/>
          <w:lang w:val="en-US"/>
        </w:rPr>
        <w:t>(</w:t>
      </w:r>
      <w:r w:rsidRPr="00A06377">
        <w:rPr>
          <w:color w:val="3B3838" w:themeColor="background2" w:themeShade="40"/>
        </w:rPr>
        <w:t>N</w:t>
      </w:r>
      <w:r w:rsidRPr="00A06377">
        <w:rPr>
          <w:color w:val="3B3838" w:themeColor="background2" w:themeShade="40"/>
          <w:vertAlign w:val="subscript"/>
        </w:rPr>
        <w:t>RB,low</w:t>
      </w:r>
      <w:r w:rsidRPr="00A06377">
        <w:rPr>
          <w:color w:val="3B3838" w:themeColor="background2" w:themeShade="40"/>
          <w:lang w:val="en-US"/>
        </w:rPr>
        <w:t>*12 + 1)*SCS</w:t>
      </w:r>
      <w:r w:rsidRPr="00A06377">
        <w:rPr>
          <w:color w:val="3B3838" w:themeColor="background2" w:themeShade="40"/>
          <w:vertAlign w:val="subscript"/>
          <w:lang w:val="en-US"/>
        </w:rPr>
        <w:t>low</w:t>
      </w:r>
      <w:r w:rsidRPr="00A06377">
        <w:rPr>
          <w:color w:val="3B3838" w:themeColor="background2" w:themeShade="40"/>
        </w:rPr>
        <w:t>/2 + BW</w:t>
      </w:r>
      <w:r w:rsidRPr="00A06377">
        <w:rPr>
          <w:color w:val="3B3838" w:themeColor="background2" w:themeShade="40"/>
          <w:vertAlign w:val="subscript"/>
        </w:rPr>
        <w:t xml:space="preserve">GB </w:t>
      </w:r>
      <w:r w:rsidRPr="00A06377">
        <w:rPr>
          <w:color w:val="3B3838" w:themeColor="background2" w:themeShade="40"/>
        </w:rPr>
        <w:t>(MHz)</w:t>
      </w:r>
    </w:p>
    <w:p w14:paraId="02CD7569" w14:textId="77777777" w:rsidR="00E47878" w:rsidRPr="00A06377" w:rsidRDefault="00E47878" w:rsidP="00A06377">
      <w:pPr>
        <w:pStyle w:val="EQ"/>
        <w:keepNext/>
        <w:ind w:left="567"/>
        <w:jc w:val="center"/>
        <w:rPr>
          <w:color w:val="3B3838" w:themeColor="background2" w:themeShade="40"/>
        </w:rPr>
      </w:pPr>
      <w:r w:rsidRPr="00A06377">
        <w:rPr>
          <w:color w:val="3B3838" w:themeColor="background2" w:themeShade="40"/>
        </w:rPr>
        <w:t>F</w:t>
      </w:r>
      <w:r w:rsidRPr="00A06377">
        <w:rPr>
          <w:color w:val="3B3838" w:themeColor="background2" w:themeShade="40"/>
          <w:vertAlign w:val="subscript"/>
        </w:rPr>
        <w:t xml:space="preserve">offset,high </w:t>
      </w:r>
      <w:r w:rsidRPr="00A06377">
        <w:rPr>
          <w:color w:val="3B3838" w:themeColor="background2" w:themeShade="40"/>
        </w:rPr>
        <w:t>= (N</w:t>
      </w:r>
      <w:r w:rsidRPr="00A06377">
        <w:rPr>
          <w:color w:val="3B3838" w:themeColor="background2" w:themeShade="40"/>
          <w:vertAlign w:val="subscript"/>
        </w:rPr>
        <w:t>RB,high</w:t>
      </w:r>
      <w:r w:rsidRPr="00A06377">
        <w:rPr>
          <w:color w:val="3B3838" w:themeColor="background2" w:themeShade="40"/>
          <w:lang w:val="en-US"/>
        </w:rPr>
        <w:t>*12 - 1)*SCS</w:t>
      </w:r>
      <w:r w:rsidRPr="00A06377">
        <w:rPr>
          <w:color w:val="3B3838" w:themeColor="background2" w:themeShade="40"/>
          <w:vertAlign w:val="subscript"/>
          <w:lang w:val="en-US"/>
        </w:rPr>
        <w:t>high</w:t>
      </w:r>
      <w:r w:rsidRPr="00A06377">
        <w:rPr>
          <w:color w:val="3B3838" w:themeColor="background2" w:themeShade="40"/>
        </w:rPr>
        <w:t>/2 + BW</w:t>
      </w:r>
      <w:r w:rsidRPr="00A06377">
        <w:rPr>
          <w:color w:val="3B3838" w:themeColor="background2" w:themeShade="40"/>
          <w:vertAlign w:val="subscript"/>
        </w:rPr>
        <w:t xml:space="preserve">GB </w:t>
      </w:r>
      <w:r w:rsidRPr="00A06377">
        <w:rPr>
          <w:color w:val="3B3838" w:themeColor="background2" w:themeShade="40"/>
        </w:rPr>
        <w:t>(MHz)</w:t>
      </w:r>
    </w:p>
    <w:p w14:paraId="1F1DE2B0" w14:textId="77777777" w:rsidR="00E47878" w:rsidRPr="00A06377" w:rsidRDefault="00E47878" w:rsidP="00A06377">
      <w:pPr>
        <w:pStyle w:val="EQ"/>
        <w:keepNext/>
        <w:ind w:left="567"/>
        <w:jc w:val="center"/>
        <w:rPr>
          <w:color w:val="3B3838" w:themeColor="background2" w:themeShade="40"/>
        </w:rPr>
      </w:pPr>
      <w:r w:rsidRPr="00A06377">
        <w:rPr>
          <w:color w:val="3B3838" w:themeColor="background2" w:themeShade="40"/>
        </w:rPr>
        <w:t>BW</w:t>
      </w:r>
      <w:r w:rsidRPr="00A06377">
        <w:rPr>
          <w:color w:val="3B3838" w:themeColor="background2" w:themeShade="40"/>
          <w:vertAlign w:val="subscript"/>
          <w:lang w:val="en-US"/>
        </w:rPr>
        <w:t>GB</w:t>
      </w:r>
      <w:r w:rsidRPr="00A06377">
        <w:rPr>
          <w:color w:val="3B3838" w:themeColor="background2" w:themeShade="40"/>
        </w:rPr>
        <w:t xml:space="preserve"> = max(</w:t>
      </w:r>
      <w:r w:rsidRPr="00A06377">
        <w:rPr>
          <w:color w:val="3B3838" w:themeColor="background2" w:themeShade="40"/>
          <w:lang w:val="en-US"/>
        </w:rPr>
        <w:t>BW</w:t>
      </w:r>
      <w:r w:rsidRPr="00A06377">
        <w:rPr>
          <w:color w:val="3B3838" w:themeColor="background2" w:themeShade="40"/>
          <w:vertAlign w:val="subscript"/>
          <w:lang w:val="en-US"/>
        </w:rPr>
        <w:t>GB,Channel(k)</w:t>
      </w:r>
      <w:r w:rsidRPr="00A06377">
        <w:rPr>
          <w:color w:val="3B3838" w:themeColor="background2" w:themeShade="40"/>
        </w:rPr>
        <w:t>)</w:t>
      </w:r>
    </w:p>
    <w:p w14:paraId="588E2D7D" w14:textId="77777777" w:rsidR="00E47878" w:rsidRPr="001C0CC4" w:rsidRDefault="00E47878" w:rsidP="00A06377">
      <w:pPr>
        <w:keepNext/>
        <w:keepLines/>
        <w:ind w:left="567"/>
        <w:rPr>
          <w:lang w:val="en-US"/>
        </w:rPr>
      </w:pPr>
      <w:r w:rsidRPr="00A06377">
        <w:rPr>
          <w:color w:val="3B3838" w:themeColor="background2" w:themeShade="40"/>
        </w:rPr>
        <w:t>BW</w:t>
      </w:r>
      <w:r w:rsidRPr="00A06377">
        <w:rPr>
          <w:color w:val="3B3838" w:themeColor="background2" w:themeShade="40"/>
          <w:vertAlign w:val="subscript"/>
        </w:rPr>
        <w:t>GB</w:t>
      </w:r>
      <w:r w:rsidRPr="00A06377">
        <w:rPr>
          <w:color w:val="3B3838" w:themeColor="background2" w:themeShade="40"/>
          <w:vertAlign w:val="subscript"/>
          <w:lang w:val="en-US"/>
        </w:rPr>
        <w:t xml:space="preserve">,Channel(k) </w:t>
      </w:r>
      <w:r w:rsidRPr="00A06377">
        <w:rPr>
          <w:color w:val="3B3838" w:themeColor="background2" w:themeShade="40"/>
        </w:rPr>
        <w:t>is the minimum guard band defined in clause 5.3.3</w:t>
      </w:r>
      <w:r w:rsidRPr="00A06377">
        <w:rPr>
          <w:color w:val="3B3838" w:themeColor="background2" w:themeShade="40"/>
          <w:lang w:val="en-US"/>
        </w:rPr>
        <w:t xml:space="preserve"> of carrier k, </w:t>
      </w:r>
      <w:r w:rsidRPr="00A06377">
        <w:rPr>
          <w:color w:val="3B3838" w:themeColor="background2" w:themeShade="40"/>
        </w:rPr>
        <w:t>while N</w:t>
      </w:r>
      <w:r w:rsidRPr="00A06377">
        <w:rPr>
          <w:color w:val="3B3838" w:themeColor="background2" w:themeShade="40"/>
          <w:vertAlign w:val="subscript"/>
        </w:rPr>
        <w:t xml:space="preserve">RB,low </w:t>
      </w:r>
      <w:r w:rsidRPr="00A06377">
        <w:rPr>
          <w:color w:val="3B3838" w:themeColor="background2" w:themeShade="40"/>
        </w:rPr>
        <w:t>and N</w:t>
      </w:r>
      <w:r w:rsidRPr="00A06377">
        <w:rPr>
          <w:color w:val="3B3838" w:themeColor="background2" w:themeShade="40"/>
          <w:vertAlign w:val="subscript"/>
        </w:rPr>
        <w:t xml:space="preserve">RB,high </w:t>
      </w:r>
      <w:r w:rsidRPr="00A06377">
        <w:rPr>
          <w:color w:val="3B3838" w:themeColor="background2" w:themeShade="40"/>
        </w:rPr>
        <w:t>are the transmission bandwidth configurations according to Table 5.</w:t>
      </w:r>
      <w:r w:rsidRPr="00A06377">
        <w:rPr>
          <w:color w:val="3B3838" w:themeColor="background2" w:themeShade="40"/>
          <w:lang w:val="en-US"/>
        </w:rPr>
        <w:t>3.2</w:t>
      </w:r>
      <w:r w:rsidRPr="00A06377">
        <w:rPr>
          <w:color w:val="3B3838" w:themeColor="background2" w:themeShade="40"/>
        </w:rPr>
        <w:t>-1 for the lowest and highest assigned component carrier, SCS</w:t>
      </w:r>
      <w:r w:rsidRPr="00A06377">
        <w:rPr>
          <w:color w:val="3B3838" w:themeColor="background2" w:themeShade="40"/>
          <w:vertAlign w:val="subscript"/>
        </w:rPr>
        <w:t>low</w:t>
      </w:r>
      <w:r w:rsidRPr="00A06377">
        <w:rPr>
          <w:color w:val="3B3838" w:themeColor="background2" w:themeShade="40"/>
        </w:rPr>
        <w:t xml:space="preserve"> and SCS</w:t>
      </w:r>
      <w:r w:rsidRPr="00A06377">
        <w:rPr>
          <w:color w:val="3B3838" w:themeColor="background2" w:themeShade="40"/>
          <w:vertAlign w:val="subscript"/>
        </w:rPr>
        <w:t>high</w:t>
      </w:r>
      <w:r w:rsidRPr="00A06377">
        <w:rPr>
          <w:color w:val="3B3838" w:themeColor="background2" w:themeShade="40"/>
        </w:rPr>
        <w:t xml:space="preserve"> are the sub-carrier spacing for the lowest and highest assigned component carrier respectively</w:t>
      </w:r>
      <w:r w:rsidRPr="00A06377">
        <w:rPr>
          <w:color w:val="3B3838" w:themeColor="background2" w:themeShade="40"/>
          <w:lang w:val="en-US"/>
        </w:rPr>
        <w:t>.</w:t>
      </w:r>
    </w:p>
    <w:p w14:paraId="65B095BE" w14:textId="27B23481" w:rsidR="00E47878" w:rsidRDefault="00E47878" w:rsidP="000B5E8E">
      <w:pPr>
        <w:rPr>
          <w:lang w:val="en-US"/>
        </w:rPr>
      </w:pPr>
    </w:p>
    <w:p w14:paraId="7A950FB4" w14:textId="222FFCC5" w:rsidR="00A06377" w:rsidRDefault="001D6BD7" w:rsidP="000B5E8E">
      <w:pPr>
        <w:rPr>
          <w:lang w:val="en-US"/>
        </w:rPr>
      </w:pPr>
      <w:r>
        <w:rPr>
          <w:lang w:val="en-US"/>
        </w:rPr>
        <w:t>T</w:t>
      </w:r>
      <w:r>
        <w:rPr>
          <w:lang w:val="en-US"/>
        </w:rPr>
        <w:t xml:space="preserve">he </w:t>
      </w:r>
      <w:r>
        <w:rPr>
          <w:lang w:val="en-US"/>
        </w:rPr>
        <w:t xml:space="preserve">current </w:t>
      </w:r>
      <w:r>
        <w:rPr>
          <w:lang w:val="en-US"/>
        </w:rPr>
        <w:t xml:space="preserve">formulas </w:t>
      </w:r>
      <w:r w:rsidRPr="00864F8D">
        <w:rPr>
          <w:lang w:val="en-US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Pr="00864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 w:rsidRPr="00864F8D">
        <w:t xml:space="preserve"> </w:t>
      </w:r>
      <w:r>
        <w:t xml:space="preserve">are </w:t>
      </w:r>
      <w:r w:rsidR="006B144C">
        <w:rPr>
          <w:lang w:val="en-US"/>
        </w:rPr>
        <w:t xml:space="preserve">problematic because the </w:t>
      </w:r>
      <w:r w:rsidR="0087673C">
        <w:rPr>
          <w:lang w:val="en-US"/>
        </w:rPr>
        <w:t xml:space="preserve">used </w:t>
      </w:r>
      <w:r w:rsidR="006B144C">
        <w:rPr>
          <w:lang w:val="en-US"/>
        </w:rPr>
        <w:t xml:space="preserve">minimum guard band widths are different from those used for the nominal channel spacing in subclause </w:t>
      </w:r>
      <w:r w:rsidR="006B144C">
        <w:t>5.4A.1.</w:t>
      </w:r>
      <w:r w:rsidR="007E64E4">
        <w:t xml:space="preserve"> </w:t>
      </w:r>
      <w:r w:rsidR="00577FE4">
        <w:t xml:space="preserve">As a result of this discrepancy, the aggregated channel bandwidth may exceed the sum of CC bandwidths, which is </w:t>
      </w:r>
      <w:r w:rsidR="00B53C85">
        <w:t>un</w:t>
      </w:r>
      <w:r w:rsidR="00577FE4">
        <w:t>acceptable.</w:t>
      </w:r>
      <w:r w:rsidR="00E700F4">
        <w:t xml:space="preserve"> Furthermore, the sub-block edges should not depend on the used SCSs.</w:t>
      </w:r>
      <w:r w:rsidR="00BF3C61">
        <w:t xml:space="preserve"> </w:t>
      </w:r>
      <w:r w:rsidR="00C65393">
        <w:t>In general,</w:t>
      </w:r>
      <w:r w:rsidR="00F57374">
        <w:t xml:space="preserve"> </w:t>
      </w:r>
      <w:r w:rsidR="00C65393">
        <w:t xml:space="preserve">the </w:t>
      </w:r>
      <w:r w:rsidR="00F57374">
        <w:t>edges of frequency channel should not depend on what is happening inside the channel.</w:t>
      </w:r>
    </w:p>
    <w:p w14:paraId="657F1062" w14:textId="7F0F0737" w:rsidR="001424CD" w:rsidRDefault="00363289" w:rsidP="00820F65">
      <w:pPr>
        <w:rPr>
          <w:b/>
          <w:bCs/>
        </w:rPr>
      </w:pPr>
      <w:r>
        <w:rPr>
          <w:lang w:val="en-US"/>
        </w:rPr>
        <w:t xml:space="preserve">To overcome this problem, we propose to rewrite </w:t>
      </w:r>
      <w:r w:rsidR="00864F8D">
        <w:rPr>
          <w:lang w:val="en-US"/>
        </w:rPr>
        <w:t xml:space="preserve">the formulas </w:t>
      </w:r>
      <w:r w:rsidR="00864F8D" w:rsidRPr="00864F8D">
        <w:rPr>
          <w:lang w:val="en-US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="00864F8D" w:rsidRPr="00864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 w:rsidR="00864F8D" w:rsidRPr="00864F8D">
        <w:t xml:space="preserve"> in </w:t>
      </w:r>
      <w:r>
        <w:t xml:space="preserve">Subclause </w:t>
      </w:r>
      <w:r w:rsidRPr="00E47878">
        <w:t>5.3A.3</w:t>
      </w:r>
      <w:r>
        <w:t xml:space="preserve"> in </w:t>
      </w:r>
      <w:r w:rsidR="004A7191">
        <w:t>a</w:t>
      </w:r>
      <w:r w:rsidR="003973F4">
        <w:t xml:space="preserve"> </w:t>
      </w:r>
      <w:r>
        <w:t xml:space="preserve">simple and </w:t>
      </w:r>
      <w:r w:rsidR="003973F4">
        <w:t xml:space="preserve">straightforward way </w:t>
      </w:r>
      <w:r w:rsidR="00D609C7">
        <w:t xml:space="preserve">which </w:t>
      </w:r>
      <w:r>
        <w:t>guarantees that the aggregated channel bandwidth cannot exceed the sum of CC bandwidths.</w:t>
      </w:r>
    </w:p>
    <w:p w14:paraId="5AFE8131" w14:textId="7AD2010C" w:rsidR="0030075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>Proposal</w:t>
      </w:r>
      <w:r w:rsidR="002624A3">
        <w:rPr>
          <w:b/>
          <w:bCs/>
        </w:rPr>
        <w:t xml:space="preserve"> 1</w:t>
      </w:r>
      <w:r w:rsidRPr="006E418C">
        <w:rPr>
          <w:b/>
          <w:bCs/>
        </w:rPr>
        <w:t xml:space="preserve">: </w:t>
      </w:r>
      <w:r w:rsidR="00C047FB">
        <w:rPr>
          <w:b/>
          <w:bCs/>
        </w:rPr>
        <w:t>S</w:t>
      </w:r>
      <w:r w:rsidRPr="006E418C">
        <w:rPr>
          <w:b/>
          <w:bCs/>
        </w:rPr>
        <w:t xml:space="preserve">pecify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</m:oMath>
      <w:r w:rsidRPr="006E418C">
        <w:rPr>
          <w:b/>
          <w:bCs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</m:oMath>
      <w:r w:rsidRPr="006E418C">
        <w:rPr>
          <w:b/>
          <w:bCs/>
        </w:rPr>
        <w:t xml:space="preserve"> as follows:</w:t>
      </w:r>
    </w:p>
    <w:p w14:paraId="029AA4E7" w14:textId="77777777" w:rsidR="00040B8F" w:rsidRDefault="00040B8F" w:rsidP="00040B8F">
      <w:pPr>
        <w:keepNext/>
        <w:keepLines/>
        <w:rPr>
          <w:b/>
          <w:bCs/>
        </w:rPr>
      </w:pPr>
      <w:r>
        <w:rPr>
          <w:b/>
          <w:bCs/>
        </w:rPr>
        <w:t xml:space="preserve">Define the guard exchange term as </w:t>
      </w:r>
    </w:p>
    <w:p w14:paraId="12C5D165" w14:textId="49FED957" w:rsidR="00040B8F" w:rsidRDefault="00040B8F" w:rsidP="00040B8F">
      <w:pPr>
        <w:keepNext/>
        <w:keepLines/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  <w:b/>
              <w:bCs/>
              <w:i/>
            </w:rPr>
            <w:sym w:font="Symbol" w:char="F044"/>
          </m:r>
          <m:r>
            <m:rPr>
              <m:sty m:val="bi"/>
            </m:rPr>
            <w:rPr>
              <w:rFonts w:ascii="Cambria Math" w:hAnsi="Cambria Math"/>
            </w:rPr>
            <m:t>GB=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GB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Channel(2)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GB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Channel(1)</m:t>
              </m:r>
            </m:sub>
          </m:sSub>
        </m:oMath>
      </m:oMathPara>
    </w:p>
    <w:p w14:paraId="06B52818" w14:textId="513A978B" w:rsidR="00040B8F" w:rsidRDefault="00040B8F" w:rsidP="006E418C">
      <w:pPr>
        <w:keepNext/>
        <w:keepLines/>
        <w:rPr>
          <w:b/>
          <w:bCs/>
        </w:rPr>
      </w:pPr>
      <w:r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Channel(n)</m:t>
            </m:r>
          </m:sub>
        </m:sSub>
      </m:oMath>
      <w:r w:rsidRPr="006E418C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6E418C">
        <w:rPr>
          <w:b/>
          <w:bCs/>
        </w:rPr>
        <w:t xml:space="preserve">=1, 2) are the minimum guard band widths used in subclause 5.4A.1. </w:t>
      </w:r>
    </w:p>
    <w:p w14:paraId="1A79B629" w14:textId="01326E11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 xml:space="preserve">If </w:t>
      </w:r>
      <m:oMath>
        <m:r>
          <m:rPr>
            <m:sty m:val="bi"/>
          </m:rPr>
          <w:rPr>
            <w:rFonts w:ascii="Cambria Math" w:hAnsi="Cambria Math"/>
            <w:b/>
            <w:bCs/>
            <w:i/>
          </w:rPr>
          <w:sym w:font="Symbol" w:char="F044"/>
        </m:r>
        <m:r>
          <m:rPr>
            <m:sty m:val="bi"/>
          </m:rPr>
          <w:rPr>
            <w:rFonts w:ascii="Cambria Math" w:hAnsi="Cambria Math"/>
          </w:rPr>
          <m:t>GB&gt;0</m:t>
        </m:r>
      </m:oMath>
      <w:r w:rsidRPr="006E418C">
        <w:rPr>
          <w:b/>
          <w:bCs/>
        </w:rPr>
        <w:t>,</w:t>
      </w:r>
    </w:p>
    <w:p w14:paraId="681B6DB7" w14:textId="523FB030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b/>
                <w:bCs/>
                <w:i/>
              </w:rPr>
              <w:sym w:font="Symbol" w:char="F044"/>
            </m:r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</m:d>
      </m:oMath>
    </w:p>
    <w:p w14:paraId="6E3CA9FD" w14:textId="5A3709D6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580245">
        <w:rPr>
          <w:b/>
          <w:bCs/>
        </w:rPr>
        <w:t>,</w:t>
      </w:r>
    </w:p>
    <w:p w14:paraId="1F571120" w14:textId="24EF2CEA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>else</w:t>
      </w:r>
    </w:p>
    <w:p w14:paraId="2B07873F" w14:textId="4E601069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</w:p>
    <w:p w14:paraId="5ADC3B6D" w14:textId="1B57FFBD" w:rsidR="0065491D" w:rsidRPr="006E418C" w:rsidRDefault="0065491D" w:rsidP="006E418C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b/>
                <w:bCs/>
                <w:i/>
              </w:rPr>
              <w:sym w:font="Symbol" w:char="F044"/>
            </m:r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</m:oMath>
    </w:p>
    <w:p w14:paraId="7A5B6629" w14:textId="048256E3" w:rsidR="00987E38" w:rsidRPr="006E418C" w:rsidRDefault="00987E38" w:rsidP="006E418C">
      <w:pPr>
        <w:keepNext/>
        <w:keepLines/>
        <w:rPr>
          <w:b/>
          <w:bCs/>
        </w:rPr>
      </w:pPr>
    </w:p>
    <w:p w14:paraId="069AD9E3" w14:textId="7C28E965" w:rsidR="0065491D" w:rsidRDefault="00B42ADE" w:rsidP="000B5E8E">
      <w:r>
        <w:t xml:space="preserve">Properties of </w:t>
      </w:r>
      <w:r w:rsidR="0030478A">
        <w:t>Proposal 1</w:t>
      </w:r>
      <w:r>
        <w:t>:</w:t>
      </w:r>
    </w:p>
    <w:p w14:paraId="7E109E83" w14:textId="6BAEF35A" w:rsidR="004600FE" w:rsidRDefault="004600FE" w:rsidP="0030478A">
      <w:pPr>
        <w:pStyle w:val="ListParagraph"/>
        <w:numPr>
          <w:ilvl w:val="0"/>
          <w:numId w:val="8"/>
        </w:numPr>
      </w:pPr>
      <w:r>
        <w:t xml:space="preserve">The absolute guard exchange term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i/>
              </w:rPr>
              <w:sym w:font="Symbol" w:char="F044"/>
            </m:r>
            <m:r>
              <w:rPr>
                <w:rFonts w:ascii="Cambria Math" w:hAnsi="Cambria Math"/>
              </w:rPr>
              <m:t>GB</m:t>
            </m:r>
          </m:e>
        </m:d>
      </m:oMath>
      <w:r w:rsidRPr="004600FE">
        <w:t xml:space="preserve"> is the same as</w:t>
      </w:r>
      <w:r>
        <w:t xml:space="preserve"> </w:t>
      </w:r>
      <w:r w:rsidR="00695AB5">
        <w:t>the one in</w:t>
      </w:r>
      <w:r w:rsidR="006C6356">
        <w:t xml:space="preserve"> the formula of nominal channel spacing under</w:t>
      </w:r>
      <w:r w:rsidR="00695AB5">
        <w:t xml:space="preserve"> subclause </w:t>
      </w:r>
      <w:r w:rsidR="00406D64">
        <w:t>5.4A.1.</w:t>
      </w:r>
    </w:p>
    <w:p w14:paraId="7BD9779B" w14:textId="30BE96A4" w:rsidR="0030478A" w:rsidRDefault="00940122" w:rsidP="0030478A">
      <w:pPr>
        <w:pStyle w:val="ListParagraph"/>
        <w:numPr>
          <w:ilvl w:val="0"/>
          <w:numId w:val="8"/>
        </w:numPr>
      </w:pPr>
      <w:r>
        <w:t>The formulas r</w:t>
      </w:r>
      <w:r w:rsidR="0030478A">
        <w:t xml:space="preserve">esult in </w:t>
      </w:r>
      <w:r w:rsidR="00AB37F0">
        <w:t xml:space="preserve">approximately </w:t>
      </w:r>
      <w:r w:rsidR="0030478A">
        <w:t xml:space="preserve">equal guard band widths </w:t>
      </w:r>
      <w:r w:rsidR="007B7B7C">
        <w:t xml:space="preserve">at </w:t>
      </w:r>
      <w:r w:rsidR="0030478A">
        <w:t xml:space="preserve">the sub-block </w:t>
      </w:r>
      <w:r w:rsidR="007B7B7C">
        <w:t xml:space="preserve">edges </w:t>
      </w:r>
      <w:r w:rsidR="0030478A">
        <w:t xml:space="preserve">for </w:t>
      </w:r>
      <m:oMath>
        <m:r>
          <w:rPr>
            <w:rFonts w:ascii="Cambria Math" w:hAnsi="Cambria Math"/>
          </w:rPr>
          <m:t>SCS=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  <m:r>
          <w:rPr>
            <w:rFonts w:ascii="Cambria Math" w:hAnsi="Cambria Math"/>
          </w:rPr>
          <m:t>∙15 kHz</m:t>
        </m:r>
      </m:oMath>
      <w:r w:rsidR="001B7911">
        <w:t>,</w:t>
      </w:r>
      <w:r w:rsidR="00AB074C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AB074C">
        <w:t xml:space="preserve"> as defined in </w:t>
      </w:r>
      <w:r w:rsidR="00C574AC">
        <w:t xml:space="preserve">TS 38.101-1 </w:t>
      </w:r>
      <w:r w:rsidR="00AB074C">
        <w:t>subclause 5.4A.1.</w:t>
      </w:r>
      <w:r w:rsidR="00D5599D">
        <w:t xml:space="preserve"> For other SCSs, the </w:t>
      </w:r>
      <w:r w:rsidR="00FE7F39">
        <w:t xml:space="preserve">sub-block </w:t>
      </w:r>
      <w:r w:rsidR="00D5599D">
        <w:t>guards differ in most cases.</w:t>
      </w:r>
    </w:p>
    <w:p w14:paraId="1F355148" w14:textId="41FCA261" w:rsidR="0030478A" w:rsidRDefault="00D66B54" w:rsidP="0030478A">
      <w:pPr>
        <w:pStyle w:val="ListParagraph"/>
        <w:numPr>
          <w:ilvl w:val="0"/>
          <w:numId w:val="8"/>
        </w:numPr>
      </w:pPr>
      <w:r>
        <w:t>T</w:t>
      </w:r>
      <w:r w:rsidR="0030478A">
        <w:t xml:space="preserve">he aggregated channel bandwidth will </w:t>
      </w:r>
      <w:r w:rsidR="001D4C48">
        <w:t xml:space="preserve">never </w:t>
      </w:r>
      <w:r w:rsidR="0030478A">
        <w:t>exceed the sum of CC bandwidths.</w:t>
      </w:r>
      <w:r w:rsidR="006D061B">
        <w:t xml:space="preserve"> This is guaranteed by using the same guard exchange term</w:t>
      </w:r>
      <w:r w:rsidR="00B12B0F">
        <w:t xml:space="preserve"> (same SCS)</w:t>
      </w:r>
      <w:r w:rsidR="006D061B">
        <w:t xml:space="preserve"> in the formulas of both nominal channel spacing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="006D061B" w:rsidRPr="006D061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 w:rsidR="006D061B" w:rsidRPr="006D061B">
        <w:t>.</w:t>
      </w:r>
    </w:p>
    <w:p w14:paraId="57A57F08" w14:textId="51CCD40A" w:rsidR="006E418C" w:rsidRDefault="00C44488" w:rsidP="000B5E8E">
      <w:pPr>
        <w:pStyle w:val="ListParagraph"/>
        <w:numPr>
          <w:ilvl w:val="0"/>
          <w:numId w:val="8"/>
        </w:numPr>
      </w:pPr>
      <w:r>
        <w:lastRenderedPageBreak/>
        <w:t xml:space="preserve">The aggregated channel </w:t>
      </w:r>
      <w:r w:rsidR="00912ED1">
        <w:t>b</w:t>
      </w:r>
      <w:r>
        <w:t xml:space="preserve">andwidth is </w:t>
      </w:r>
      <w:r w:rsidR="00742DFB">
        <w:t>always</w:t>
      </w:r>
      <w:r w:rsidR="00876412">
        <w:br/>
      </w:r>
      <w:r w:rsidR="004E3CB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Channel_CA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Channel(1)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Channel(2)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</w:rPr>
                      <w:sym w:font="Symbol" w:char="F044"/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Raster_CA</m:t>
                    </m:r>
                  </m:sub>
                </m:sSub>
              </m:den>
            </m:f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Raster_CA</m:t>
            </m:r>
          </m:sub>
        </m:sSub>
      </m:oMath>
      <w:r w:rsidR="00F20564">
        <w:t xml:space="preserve">, </w:t>
      </w:r>
      <w:r w:rsidR="00876412">
        <w:br/>
      </w:r>
      <w:r w:rsidR="00F20564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Raster_CA</m:t>
            </m:r>
          </m:sub>
        </m:sSub>
        <m:r>
          <w:rPr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i/>
                  </w:rPr>
                  <w:sym w:font="Symbol" w:char="F044"/>
                </m:r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Raster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</w:rPr>
                      <w:sym w:font="Symbol" w:char="F06D"/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∙15 kHz</m:t>
            </m:r>
          </m:e>
        </m:d>
      </m:oMath>
      <w:r w:rsidR="00A80F73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Raster</m:t>
            </m:r>
          </m:sub>
        </m:sSub>
      </m:oMath>
      <w:r w:rsidR="00320055">
        <w:t xml:space="preserve"> </w:t>
      </w:r>
      <w:r w:rsidR="00A80F73">
        <w:t>is the channel raster of the operating band,</w:t>
      </w:r>
      <w:r w:rsidR="00F20564">
        <w:t xml:space="preserve"> and </w:t>
      </w:r>
      <m:oMath>
        <m:r>
          <w:rPr>
            <w:rFonts w:ascii="Cambria Math" w:hAnsi="Cambria Math"/>
          </w:rPr>
          <m:t>LCM(∙)</m:t>
        </m:r>
      </m:oMath>
      <w:r w:rsidR="00F20564">
        <w:t xml:space="preserve"> stands for least common multiple.</w:t>
      </w:r>
    </w:p>
    <w:p w14:paraId="7418C2AC" w14:textId="3C94C919" w:rsidR="00020F23" w:rsidRDefault="000A6A9A" w:rsidP="000A6A9A">
      <w:pPr>
        <w:pStyle w:val="Heading2"/>
      </w:pPr>
      <w:r>
        <w:t>2.2</w:t>
      </w:r>
      <w:r>
        <w:tab/>
      </w:r>
      <w:r w:rsidR="00A41416">
        <w:t>Implications on determining the MPR</w:t>
      </w:r>
    </w:p>
    <w:p w14:paraId="4F19C221" w14:textId="6E20771A" w:rsidR="00A72CD9" w:rsidRDefault="00644F6B" w:rsidP="00A41416">
      <w:r>
        <w:t xml:space="preserve">Specified MPR values must be valid for all operating bands. Therefore, it is unfortunate that the nominal channel spacing </w:t>
      </w:r>
      <w:r w:rsidR="002E6CCD">
        <w:t>and</w:t>
      </w:r>
      <w:r w:rsidR="002350F3">
        <w:t xml:space="preserve"> sub-block</w:t>
      </w:r>
      <w:r w:rsidR="002E6CCD">
        <w:t xml:space="preserve"> guards </w:t>
      </w:r>
      <w:r>
        <w:t xml:space="preserve">depend on the operating band. </w:t>
      </w:r>
      <w:r w:rsidR="00801F49">
        <w:t xml:space="preserve">It is infeasible to run simulations for the MPR separately for each operating band. </w:t>
      </w:r>
      <w:r w:rsidR="0048027D">
        <w:t xml:space="preserve">Furthermore, the specified MPR should be valid also for operating bands possibly specified in the future. </w:t>
      </w:r>
      <w:r w:rsidR="001C1301">
        <w:t xml:space="preserve">Therefore, </w:t>
      </w:r>
      <w:r w:rsidR="000D460F">
        <w:t xml:space="preserve">what is needed is a </w:t>
      </w:r>
      <w:r w:rsidR="000C4437">
        <w:t>method</w:t>
      </w:r>
      <w:r w:rsidR="000D460F">
        <w:t xml:space="preserve"> to simulate </w:t>
      </w:r>
      <w:r w:rsidR="001D3D7E">
        <w:t>or</w:t>
      </w:r>
      <w:r w:rsidR="000D460F">
        <w:t xml:space="preserve"> measure the MPR in a way that the result</w:t>
      </w:r>
      <w:r w:rsidR="00CD78EA">
        <w:t>s</w:t>
      </w:r>
      <w:r w:rsidR="000D460F">
        <w:t xml:space="preserve"> will be valid for all </w:t>
      </w:r>
      <w:r w:rsidR="00270FE2">
        <w:t xml:space="preserve">current and future </w:t>
      </w:r>
      <w:r w:rsidR="000D460F">
        <w:t xml:space="preserve">operating bands. </w:t>
      </w:r>
    </w:p>
    <w:p w14:paraId="1487E625" w14:textId="2003E94C" w:rsidR="00A41416" w:rsidRDefault="00F4756D" w:rsidP="00A41416">
      <w:r>
        <w:t xml:space="preserve">This </w:t>
      </w:r>
      <w:r w:rsidR="00A72CD9">
        <w:t xml:space="preserve">problem </w:t>
      </w:r>
      <w:r>
        <w:t xml:space="preserve">can be </w:t>
      </w:r>
      <w:r w:rsidR="007631E5">
        <w:t xml:space="preserve">solved </w:t>
      </w:r>
      <w:r>
        <w:t xml:space="preserve">by using modified definitions for nominal channel spacing as well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Pr="006D061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>
        <w:t>.</w:t>
      </w:r>
    </w:p>
    <w:p w14:paraId="212590B2" w14:textId="02DC28DB" w:rsidR="00644F6B" w:rsidRDefault="00B84703" w:rsidP="00B84703">
      <w:pPr>
        <w:pStyle w:val="ListParagraph"/>
        <w:numPr>
          <w:ilvl w:val="0"/>
          <w:numId w:val="9"/>
        </w:numPr>
      </w:pPr>
      <w:r>
        <w:t xml:space="preserve">In the definition of the guard exchange term, use the minimum guard bandwidths of the SCS which minimizes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i/>
              </w:rPr>
              <w:sym w:font="Symbol" w:char="F044"/>
            </m:r>
            <m:r>
              <w:rPr>
                <w:rFonts w:ascii="Cambria Math" w:hAnsi="Cambria Math"/>
              </w:rPr>
              <m:t>GB</m:t>
            </m:r>
          </m:e>
        </m:d>
      </m:oMath>
      <w:r w:rsidR="002B4CCC">
        <w:t>. This maximizes the channel spacing</w:t>
      </w:r>
      <w:r w:rsidR="00484C05">
        <w:t xml:space="preserve"> and thus maximizes the reach of spectral regrowth and IMD.</w:t>
      </w:r>
    </w:p>
    <w:p w14:paraId="27D25A4D" w14:textId="444A851B" w:rsidR="00080FCB" w:rsidRDefault="007B5010" w:rsidP="00A41416">
      <w:pPr>
        <w:pStyle w:val="ListParagraph"/>
        <w:numPr>
          <w:ilvl w:val="0"/>
          <w:numId w:val="9"/>
        </w:numPr>
      </w:pPr>
      <w:r>
        <w:t>I</w:t>
      </w:r>
      <w:r w:rsidR="00995E87">
        <w:t>n</w:t>
      </w:r>
      <w:r>
        <w:t xml:space="preserve"> the definition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Pr="006D061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>
        <w:t xml:space="preserve">, use the above-mentioned modified </w:t>
      </w:r>
      <m:oMath>
        <m:r>
          <w:rPr>
            <w:rFonts w:ascii="Cambria Math" w:hAnsi="Cambria Math"/>
            <w:i/>
          </w:rPr>
          <w:sym w:font="Symbol" w:char="F044"/>
        </m:r>
        <m:r>
          <w:rPr>
            <w:rFonts w:ascii="Cambria Math" w:hAnsi="Cambria Math"/>
          </w:rPr>
          <m:t>GB</m:t>
        </m:r>
      </m:oMath>
      <w:r>
        <w:t>.</w:t>
      </w:r>
      <w:r w:rsidR="00965339">
        <w:t xml:space="preserve"> This minimizes the guard band of one of the edge CCs</w:t>
      </w:r>
      <w:r w:rsidR="00D942C0">
        <w:t>, again contributing to finding the highest MPR among operating bands.</w:t>
      </w:r>
    </w:p>
    <w:p w14:paraId="2EBBA720" w14:textId="14DCAC19" w:rsidR="008920E4" w:rsidRDefault="008920E4" w:rsidP="00A41416">
      <w:r>
        <w:t>Properties of the parameters modified for determining the MPR:</w:t>
      </w:r>
    </w:p>
    <w:p w14:paraId="5D7A1F47" w14:textId="5B994BFB" w:rsidR="003168D8" w:rsidRDefault="003168D8" w:rsidP="008920E4">
      <w:pPr>
        <w:pStyle w:val="ListParagraph"/>
        <w:numPr>
          <w:ilvl w:val="0"/>
          <w:numId w:val="10"/>
        </w:numPr>
      </w:pPr>
      <w:r>
        <w:t xml:space="preserve">The combination of nominal channel spacing and sub-block guards </w:t>
      </w:r>
      <w:r w:rsidR="004F6707">
        <w:t xml:space="preserve">might </w:t>
      </w:r>
      <w:r>
        <w:t>match the specified ones at none of the operating bands.</w:t>
      </w:r>
    </w:p>
    <w:p w14:paraId="70C2EC3B" w14:textId="6618B8E5" w:rsidR="008920E4" w:rsidRDefault="008920E4" w:rsidP="008920E4">
      <w:pPr>
        <w:pStyle w:val="ListParagraph"/>
        <w:numPr>
          <w:ilvl w:val="0"/>
          <w:numId w:val="10"/>
        </w:numPr>
      </w:pPr>
      <w:r>
        <w:t>The channel spacing may be larger than the specified nominal channel spacing for some operating band</w:t>
      </w:r>
      <w:r w:rsidR="00BA64BD">
        <w:t>s</w:t>
      </w:r>
      <w:r>
        <w:t>.</w:t>
      </w:r>
    </w:p>
    <w:p w14:paraId="1701113A" w14:textId="444856DD" w:rsidR="008920E4" w:rsidRDefault="008920E4" w:rsidP="008920E4">
      <w:pPr>
        <w:pStyle w:val="ListParagraph"/>
        <w:numPr>
          <w:ilvl w:val="0"/>
          <w:numId w:val="10"/>
        </w:numPr>
      </w:pPr>
      <w:r>
        <w:t>The guard on either edge of the sub-block may be narrower than specified for some operating band</w:t>
      </w:r>
      <w:r w:rsidR="00BA64BD">
        <w:t>s</w:t>
      </w:r>
      <w:r>
        <w:t>.</w:t>
      </w:r>
    </w:p>
    <w:p w14:paraId="320F288D" w14:textId="46631AB7" w:rsidR="00775BF6" w:rsidRDefault="00CF4FAE" w:rsidP="00D733F3">
      <w:pPr>
        <w:pStyle w:val="ListParagraph"/>
        <w:numPr>
          <w:ilvl w:val="0"/>
          <w:numId w:val="10"/>
        </w:numPr>
      </w:pPr>
      <w:r>
        <w:t>The aggregated channel bandwidth never exceeds the sum of CC bandwidths.</w:t>
      </w:r>
    </w:p>
    <w:p w14:paraId="0A936B63" w14:textId="77777777" w:rsidR="009D1984" w:rsidRPr="00D733F3" w:rsidRDefault="009D1984" w:rsidP="00D733F3"/>
    <w:p w14:paraId="548B775A" w14:textId="7CA0556D" w:rsidR="0008585F" w:rsidRDefault="0008585F" w:rsidP="0008585F">
      <w:pPr>
        <w:pStyle w:val="Heading2"/>
      </w:pPr>
      <w:r>
        <w:t>2.3</w:t>
      </w:r>
      <w:r>
        <w:tab/>
      </w:r>
      <w:r w:rsidR="00A25C4E">
        <w:t>ACLR measurement</w:t>
      </w:r>
      <w:r w:rsidR="00AC111E">
        <w:t xml:space="preserve"> bandwidth</w:t>
      </w:r>
      <w:r w:rsidR="00821771">
        <w:t xml:space="preserve"> and frequency offsets</w:t>
      </w:r>
    </w:p>
    <w:p w14:paraId="37824979" w14:textId="05B746D6" w:rsidR="00D11513" w:rsidRDefault="00D11513" w:rsidP="0044755E">
      <w:r>
        <w:t>If the WF [2], the proposed ACLR MBW might not cover all RBs.</w:t>
      </w:r>
      <w:r w:rsidR="009F1850">
        <w:t xml:space="preserve"> </w:t>
      </w:r>
      <w:r w:rsidR="009819B9">
        <w:t>Especially if applied in measuring the transmitted power, this would cause erroneous results</w:t>
      </w:r>
      <w:r w:rsidR="006B32CF">
        <w:t xml:space="preserve"> for some allocations.</w:t>
      </w:r>
    </w:p>
    <w:p w14:paraId="0235C0E8" w14:textId="4893339B" w:rsidR="00EA0C01" w:rsidRDefault="0044755E" w:rsidP="0044755E">
      <w:r>
        <w:t>To simplify CA ACLR measurements, it is preferable to define a single measurement bandwidth for each bandwidth combination. This must be a superset of all RBs in all SCS combinations.</w:t>
      </w:r>
      <w:r w:rsidR="005D368C">
        <w:t xml:space="preserve"> </w:t>
      </w:r>
      <w:r w:rsidR="00FC1CE4">
        <w:t xml:space="preserve">To achieve </w:t>
      </w:r>
      <w:r w:rsidR="00C658B1">
        <w:t>this</w:t>
      </w:r>
      <w:r w:rsidR="009A0815">
        <w:t>,</w:t>
      </w:r>
      <w:r w:rsidR="00C658B1">
        <w:t xml:space="preserve"> we </w:t>
      </w:r>
      <w:r w:rsidR="005D368C">
        <w:t>can reuse the single-channel ACLR MBWs</w:t>
      </w:r>
      <w:r w:rsidR="00DE3B15">
        <w:t xml:space="preserve">, </w:t>
      </w:r>
      <w:bookmarkStart w:id="6" w:name="_GoBack"/>
      <w:bookmarkEnd w:id="6"/>
      <w:r w:rsidR="007146FA">
        <w:t>which were designed to cover all RBs of all SCSs.</w:t>
      </w:r>
    </w:p>
    <w:p w14:paraId="236C7075" w14:textId="7FB6D5A6" w:rsidR="00244F28" w:rsidRPr="00820F65" w:rsidRDefault="00244F28" w:rsidP="0044755E">
      <w:pPr>
        <w:rPr>
          <w:b/>
          <w:bCs/>
        </w:rPr>
      </w:pPr>
      <w:r w:rsidRPr="00820F65">
        <w:rPr>
          <w:b/>
          <w:bCs/>
        </w:rPr>
        <w:t>A</w:t>
      </w:r>
      <w:r w:rsidR="00155DF1" w:rsidRPr="00820F65">
        <w:rPr>
          <w:b/>
          <w:bCs/>
        </w:rPr>
        <w:t>CLR a</w:t>
      </w:r>
      <w:r w:rsidRPr="00820F65">
        <w:rPr>
          <w:b/>
          <w:bCs/>
        </w:rPr>
        <w:t>lternative A:</w:t>
      </w:r>
      <w:r w:rsidR="00534A7D" w:rsidRPr="00820F65">
        <w:rPr>
          <w:b/>
          <w:bCs/>
        </w:rPr>
        <w:t xml:space="preserve"> asymmetric MBW</w:t>
      </w:r>
    </w:p>
    <w:p w14:paraId="2F7C3C61" w14:textId="23F0B1D5" w:rsidR="00EA0C01" w:rsidRPr="00B91F41" w:rsidRDefault="00907E71" w:rsidP="0044755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MBW</m:t>
              </m:r>
            </m:e>
            <m:sub>
              <m:r>
                <w:rPr>
                  <w:rFonts w:ascii="Cambria Math" w:hAnsi="Cambria Math"/>
                </w:rPr>
                <m:t>ACLR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MBW</m:t>
              </m:r>
            </m:e>
            <m:sub>
              <m:r>
                <w:rPr>
                  <w:rFonts w:ascii="Cambria Math" w:hAnsi="Cambria Math"/>
                </w:rPr>
                <m:t>ACLR,1</m:t>
              </m:r>
            </m:sub>
          </m:sSub>
          <m:r>
            <w:rPr>
              <w:rFonts w:ascii="Cambria Math" w:hAnsi="Cambria Math"/>
            </w:rPr>
            <m:t>/2+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C,2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C,1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MBW</m:t>
              </m:r>
            </m:e>
            <m:sub>
              <m:r>
                <w:rPr>
                  <w:rFonts w:ascii="Cambria Math" w:hAnsi="Cambria Math"/>
                </w:rPr>
                <m:t>ACLR,2</m:t>
              </m:r>
            </m:sub>
          </m:sSub>
          <m:r>
            <w:rPr>
              <w:rFonts w:ascii="Cambria Math" w:hAnsi="Cambria Math"/>
            </w:rPr>
            <m:t>/2,</m:t>
          </m:r>
        </m:oMath>
      </m:oMathPara>
    </w:p>
    <w:p w14:paraId="63E30913" w14:textId="4D6F5CDE" w:rsidR="00B91F41" w:rsidRPr="005D368C" w:rsidRDefault="00B91F41" w:rsidP="0044755E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MBW</m:t>
            </m:r>
          </m:e>
          <m:sub>
            <m:r>
              <w:rPr>
                <w:rFonts w:ascii="Cambria Math" w:hAnsi="Cambria Math"/>
              </w:rPr>
              <m:t>ACLR,n</m:t>
            </m:r>
          </m:sub>
        </m:sSub>
      </m:oMath>
      <w:r>
        <w:t xml:space="preserve"> is the single-channel ACLR MBW for the </w:t>
      </w:r>
      <w:r w:rsidR="00A30FE3">
        <w:t xml:space="preserve">channel </w:t>
      </w:r>
      <w:r>
        <w:t xml:space="preserve">bandwidth of </w:t>
      </w:r>
      <m:oMath>
        <m:r>
          <w:rPr>
            <w:rFonts w:ascii="Cambria Math" w:hAnsi="Cambria Math"/>
          </w:rPr>
          <m:t>n</m:t>
        </m:r>
      </m:oMath>
      <w:r w:rsidRPr="00B91F41">
        <w:rPr>
          <w:vertAlign w:val="superscript"/>
        </w:rPr>
        <w:t>th</w:t>
      </w:r>
      <w:r>
        <w:t xml:space="preserve"> CC as defined in TS 38.101-1 </w:t>
      </w:r>
      <w:r w:rsidRPr="00B91F41">
        <w:t>Table 6.5.2.4.1-1</w:t>
      </w:r>
      <w:r w:rsidR="00D566FC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C,2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C,1</m:t>
            </m:r>
          </m:sub>
        </m:sSub>
      </m:oMath>
      <w:r w:rsidR="00D566FC">
        <w:t xml:space="preserve"> is the channel spacing.</w:t>
      </w:r>
    </w:p>
    <w:p w14:paraId="1DDB1AF4" w14:textId="444A914E" w:rsidR="00174C78" w:rsidRDefault="005D368C" w:rsidP="0044755E">
      <w:r>
        <w:t xml:space="preserve">However, when properly aligned with the sub-block, the measurement center </w:t>
      </w:r>
      <w:r w:rsidR="00D6152B">
        <w:t>does not</w:t>
      </w:r>
      <w:r>
        <w:t xml:space="preserve"> necessarily </w:t>
      </w:r>
      <w:r w:rsidR="00D6152B">
        <w:t xml:space="preserve">coincide with </w:t>
      </w:r>
      <w:r w:rsidR="00B56A24">
        <w:t>the sub-block center.</w:t>
      </w:r>
      <w:r w:rsidR="00587953">
        <w:t xml:space="preserve"> </w:t>
      </w:r>
      <w:r w:rsidR="00174C78">
        <w:t xml:space="preserve">Therefore, the offset from </w:t>
      </w:r>
      <w:r w:rsidR="005375B1">
        <w:t xml:space="preserve">the center of transmitted </w:t>
      </w:r>
      <w:r w:rsidR="00174C78">
        <w:t>sub-block to the ACLR MBW center must be specified separately above and below the sub-block.</w:t>
      </w:r>
    </w:p>
    <w:p w14:paraId="55D197B9" w14:textId="0C57B329" w:rsidR="00A27031" w:rsidRDefault="009D101D" w:rsidP="0044755E">
      <w:r>
        <w:t xml:space="preserve">After simplification, </w:t>
      </w:r>
      <w:r w:rsidR="0023646B">
        <w:t>t</w:t>
      </w:r>
      <w:r w:rsidR="00A27031">
        <w:t xml:space="preserve">he offsets between the centers of </w:t>
      </w:r>
      <w:r w:rsidR="00D7088E">
        <w:t xml:space="preserve">the </w:t>
      </w:r>
      <w:r w:rsidR="00A27031">
        <w:t xml:space="preserve">sub-block and ACLR MBW </w:t>
      </w:r>
      <w:r w:rsidR="0007369A">
        <w:t>for the adjacent channels below and above the sub-block</w:t>
      </w:r>
      <w:r w:rsidR="00072376">
        <w:t xml:space="preserve"> are</w:t>
      </w:r>
    </w:p>
    <w:p w14:paraId="770A0636" w14:textId="17ACFAD3" w:rsidR="005D368C" w:rsidRDefault="00907E71" w:rsidP="00820F65">
      <w:pPr>
        <w:keepNext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offset</m:t>
              </m:r>
            </m:e>
            <m:sub>
              <m:r>
                <w:rPr>
                  <w:rFonts w:ascii="Cambria Math" w:hAnsi="Cambria Math"/>
                </w:rPr>
                <m:t>ACLR,low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BW</m:t>
              </m:r>
            </m:e>
            <m:sub>
              <m:r>
                <w:rPr>
                  <w:rFonts w:ascii="Cambria Math" w:hAnsi="Cambria Math"/>
                </w:rPr>
                <m:t>Channel_CA</m:t>
              </m:r>
            </m:sub>
          </m:sSub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displacement</m:t>
          </m:r>
        </m:oMath>
      </m:oMathPara>
    </w:p>
    <w:p w14:paraId="5A23F2FF" w14:textId="5C3A9434" w:rsidR="004E3B18" w:rsidRPr="00A27031" w:rsidRDefault="00907E71" w:rsidP="004E3B1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offset</m:t>
              </m:r>
            </m:e>
            <m:sub>
              <m:r>
                <w:rPr>
                  <w:rFonts w:ascii="Cambria Math" w:hAnsi="Cambria Math"/>
                </w:rPr>
                <m:t>ACLR,high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BW</m:t>
              </m:r>
            </m:e>
            <m:sub>
              <m:r>
                <w:rPr>
                  <w:rFonts w:ascii="Cambria Math" w:hAnsi="Cambria Math"/>
                </w:rPr>
                <m:t>Channel_CA</m:t>
              </m:r>
            </m:sub>
          </m:sSub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displacement</m:t>
          </m:r>
          <m:r>
            <w:rPr>
              <w:rFonts w:ascii="Cambria Math" w:hAnsi="Cambria Math"/>
            </w:rPr>
            <m:t>,</m:t>
          </m:r>
        </m:oMath>
      </m:oMathPara>
    </w:p>
    <w:p w14:paraId="1CD280A7" w14:textId="23171018" w:rsidR="00215117" w:rsidRDefault="00A27031" w:rsidP="004E3B18">
      <w:r>
        <w:t>respectively.</w:t>
      </w:r>
      <w:r w:rsidR="0046229B">
        <w:t xml:space="preserve"> </w:t>
      </w:r>
      <w:r w:rsidR="002A45FF">
        <w:t>Here,</w:t>
      </w:r>
      <w:r w:rsidR="00393DE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Channel_CA</m:t>
            </m:r>
          </m:sub>
        </m:sSub>
      </m:oMath>
      <w:r w:rsidR="00393DE0">
        <w:t xml:space="preserve"> is the aggregated channel bandwidth, and </w:t>
      </w:r>
    </w:p>
    <w:p w14:paraId="5C721EC2" w14:textId="62D4AFA8" w:rsidR="00215117" w:rsidRDefault="00EA7EF0" w:rsidP="00215117">
      <m:oMathPara>
        <m:oMath>
          <m:r>
            <m:rPr>
              <m:sty m:val="p"/>
            </m:rPr>
            <w:rPr>
              <w:rFonts w:ascii="Cambria Math" w:hAnsi="Cambria Math"/>
            </w:rPr>
            <m:t>displacement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</w:rPr>
                    <m:t>ACLR,2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</w:rPr>
                    <m:t>ACLR,1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offset,high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offset,low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E4587A8" w14:textId="725358F9" w:rsidR="00215117" w:rsidRDefault="00215117" w:rsidP="004E3B18">
      <w:r>
        <w:t xml:space="preserve">is </w:t>
      </w:r>
      <w:r w:rsidR="00D34F9B">
        <w:t xml:space="preserve">a </w:t>
      </w:r>
      <w:r>
        <w:t xml:space="preserve">displacement </w:t>
      </w:r>
      <w:r w:rsidR="00E24D8F">
        <w:t>due to the asymmetry of the ACLR MBW</w:t>
      </w:r>
      <w:r>
        <w:t>.</w:t>
      </w:r>
    </w:p>
    <w:p w14:paraId="028936E8" w14:textId="41272EAA" w:rsidR="00D66402" w:rsidRPr="00820F65" w:rsidRDefault="00D66402" w:rsidP="004E3B18">
      <w:pPr>
        <w:rPr>
          <w:b/>
          <w:bCs/>
        </w:rPr>
      </w:pPr>
      <w:r w:rsidRPr="00820F65">
        <w:rPr>
          <w:b/>
          <w:bCs/>
        </w:rPr>
        <w:lastRenderedPageBreak/>
        <w:t>ACLR alternative B:</w:t>
      </w:r>
      <w:r w:rsidR="00320CE0" w:rsidRPr="00820F65">
        <w:rPr>
          <w:b/>
          <w:bCs/>
        </w:rPr>
        <w:t xml:space="preserve"> symmetric MBW</w:t>
      </w:r>
    </w:p>
    <w:p w14:paraId="2A7A77DE" w14:textId="197AF2C8" w:rsidR="005D368C" w:rsidRDefault="00872BED" w:rsidP="0044755E">
      <w:r>
        <w:t>Another</w:t>
      </w:r>
      <w:r w:rsidR="00990900">
        <w:t xml:space="preserve"> approach would be to define the ACLR MBW to be symmetric with respect to the sub-block center</w:t>
      </w:r>
      <w:r w:rsidR="007D02CD">
        <w:t xml:space="preserve">. This would allow to use the same frequency offset on both sides of the sub-block. However, </w:t>
      </w:r>
      <w:r w:rsidR="00990900">
        <w:t xml:space="preserve">since this </w:t>
      </w:r>
      <w:r w:rsidR="00C37C7E">
        <w:t xml:space="preserve">MBW </w:t>
      </w:r>
      <w:r w:rsidR="00990900">
        <w:t xml:space="preserve">should be a superset of the </w:t>
      </w:r>
      <w:r w:rsidR="00B11C52">
        <w:t xml:space="preserve">asymmetric MBW </w:t>
      </w:r>
      <w:r w:rsidR="00C40B9D">
        <w:t>of Alternative A</w:t>
      </w:r>
      <w:r w:rsidR="00990900">
        <w:t xml:space="preserve">, </w:t>
      </w:r>
      <w:r w:rsidR="00F83477">
        <w:t xml:space="preserve">the symmetric MBW must be </w:t>
      </w:r>
      <w:r w:rsidR="00990900">
        <w:t xml:space="preserve">wider, resulting in </w:t>
      </w:r>
      <w:r w:rsidR="00317E88">
        <w:t xml:space="preserve">somewhat </w:t>
      </w:r>
      <w:r w:rsidR="00990900">
        <w:t>lower measured ACLR values.</w:t>
      </w:r>
      <w:r w:rsidR="00925CB5">
        <w:t xml:space="preserve"> </w:t>
      </w:r>
    </w:p>
    <w:p w14:paraId="060604ED" w14:textId="23F6500A" w:rsidR="00686D44" w:rsidRDefault="00686D44" w:rsidP="002C765C">
      <w:pPr>
        <w:keepNext/>
      </w:pPr>
      <w:r>
        <w:t>Symmetric ACLR MBW</w:t>
      </w:r>
      <w:r w:rsidR="00D461DF">
        <w:t xml:space="preserve"> and </w:t>
      </w:r>
      <w:r w:rsidR="00DA16DA">
        <w:t xml:space="preserve">the respective </w:t>
      </w:r>
      <w:r w:rsidR="002F54B1">
        <w:t>frequency offset</w:t>
      </w:r>
      <w:r w:rsidR="005B1B8B">
        <w:t>:</w:t>
      </w:r>
    </w:p>
    <w:p w14:paraId="6C2168BF" w14:textId="595AE921" w:rsidR="00686D44" w:rsidRPr="00262912" w:rsidRDefault="00907E71" w:rsidP="00686D4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MBW</m:t>
              </m:r>
            </m:e>
            <m:sub>
              <m:r>
                <w:rPr>
                  <w:rFonts w:ascii="Cambria Math" w:hAnsi="Cambria Math"/>
                </w:rPr>
                <m:t>ACLR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BW</m:t>
              </m:r>
            </m:e>
            <m:sub>
              <m:r>
                <w:rPr>
                  <w:rFonts w:ascii="Cambria Math" w:hAnsi="Cambria Math"/>
                </w:rPr>
                <m:t>Channel_CA</m:t>
              </m:r>
            </m:sub>
          </m:sSub>
          <m:r>
            <w:rPr>
              <w:rFonts w:ascii="Cambria Math" w:hAnsi="Cambria Math"/>
            </w:rPr>
            <m:t>-2 min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offset,low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ACLR,1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F</m:t>
                  </m:r>
                </m:e>
                <m:sub>
                  <m:r>
                    <w:rPr>
                      <w:rFonts w:ascii="Cambria Math" w:hAnsi="Cambria Math"/>
                    </w:rPr>
                    <m:t>offset,high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ACLR,2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525C620A" w14:textId="3A4B70DA" w:rsidR="00262912" w:rsidRPr="00262912" w:rsidRDefault="00907E71" w:rsidP="00686D4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offset</m:t>
              </m:r>
            </m:e>
            <m:sub>
              <m:r>
                <w:rPr>
                  <w:rFonts w:ascii="Cambria Math" w:hAnsi="Cambria Math"/>
                </w:rPr>
                <m:t>ACLR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BW</m:t>
              </m:r>
            </m:e>
            <m:sub>
              <m:r>
                <w:rPr>
                  <w:rFonts w:ascii="Cambria Math" w:hAnsi="Cambria Math"/>
                </w:rPr>
                <m:t>Channel_CA</m:t>
              </m:r>
            </m:sub>
          </m:sSub>
        </m:oMath>
      </m:oMathPara>
    </w:p>
    <w:p w14:paraId="07659BBD" w14:textId="5974B49B" w:rsidR="00686D44" w:rsidRDefault="00804A45" w:rsidP="0044755E">
      <w:r>
        <w:t xml:space="preserve">Notice the </w:t>
      </w:r>
      <m:oMath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</m:t>
            </m:r>
          </m:e>
        </m:d>
      </m:oMath>
      <w:r>
        <w:t xml:space="preserve"> function, in contrast to earlier WF </w:t>
      </w:r>
      <w:r w:rsidR="00C15B40">
        <w:t xml:space="preserve">[2] </w:t>
      </w:r>
      <w:r>
        <w:t xml:space="preserve">which applied a </w:t>
      </w:r>
      <m:oMath>
        <m:r>
          <w:rPr>
            <w:rFonts w:ascii="Cambria Math" w:hAnsi="Cambria Math"/>
          </w:rPr>
          <m:t>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</m:t>
            </m:r>
          </m:e>
        </m:d>
      </m:oMath>
      <w:r w:rsidR="003E42A7">
        <w:t xml:space="preserve"> fun</w:t>
      </w:r>
      <w:r w:rsidR="00E35394">
        <w:t>c</w:t>
      </w:r>
      <w:r w:rsidR="003E42A7">
        <w:t>tion</w:t>
      </w:r>
      <w:r>
        <w:t xml:space="preserve">. </w:t>
      </w:r>
      <w:r w:rsidR="00E35394">
        <w:t xml:space="preserve">The </w:t>
      </w:r>
      <m:oMath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</m:t>
            </m:r>
          </m:e>
        </m:d>
      </m:oMath>
      <w:r w:rsidR="006C34E2">
        <w:t xml:space="preserve"> function is preferred because </w:t>
      </w:r>
      <m:oMath>
        <m:r>
          <w:rPr>
            <w:rFonts w:ascii="Cambria Math" w:hAnsi="Cambria Math"/>
          </w:rPr>
          <m:t>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</m:t>
            </m:r>
          </m:e>
        </m:d>
      </m:oMath>
      <w:r w:rsidR="00E5274C">
        <w:t xml:space="preserve"> </w:t>
      </w:r>
      <w:r w:rsidR="007B4C53">
        <w:t>c</w:t>
      </w:r>
      <w:r w:rsidR="00C20690">
        <w:t xml:space="preserve">ould </w:t>
      </w:r>
      <w:r w:rsidR="00E35394">
        <w:t xml:space="preserve">leave </w:t>
      </w:r>
      <w:r w:rsidR="00DC7AAB">
        <w:t xml:space="preserve">some </w:t>
      </w:r>
      <w:r w:rsidR="00E35394">
        <w:t>RBs outside the MB</w:t>
      </w:r>
      <w:r w:rsidR="006C34E2">
        <w:t>W.</w:t>
      </w:r>
    </w:p>
    <w:p w14:paraId="6218C20E" w14:textId="0E34437C" w:rsidR="00686D44" w:rsidRDefault="007D2B1B" w:rsidP="0044755E">
      <w:r>
        <w:t>Due to the symmetry, we prefer Alternative B.</w:t>
      </w:r>
    </w:p>
    <w:p w14:paraId="6EBC5329" w14:textId="77777777" w:rsidR="00FB0CC0" w:rsidRDefault="0057689F" w:rsidP="0057689F">
      <w:pPr>
        <w:rPr>
          <w:b/>
          <w:bCs/>
        </w:rPr>
      </w:pPr>
      <w:r w:rsidRPr="00820F65">
        <w:rPr>
          <w:b/>
          <w:bCs/>
        </w:rPr>
        <w:t>Proposal 2:</w:t>
      </w:r>
      <w:r>
        <w:rPr>
          <w:b/>
          <w:bCs/>
        </w:rPr>
        <w:t xml:space="preserve"> Define the CA ACLR measurement bandwidth and frequency offset as</w:t>
      </w:r>
    </w:p>
    <w:p w14:paraId="516FA063" w14:textId="56DE175F" w:rsidR="00433396" w:rsidRPr="00820F65" w:rsidRDefault="00907E71" w:rsidP="0057689F">
      <w:pPr>
        <w:rPr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ACLR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Channel_CA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-2 min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offset,low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ACLR,1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offset,high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ACLR,2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57F3E628" w14:textId="2DF66A65" w:rsidR="00482DDD" w:rsidRPr="00560EC7" w:rsidRDefault="00907E71" w:rsidP="001221D2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ACLR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Channel_CA</m:t>
              </m:r>
            </m:sub>
          </m:sSub>
        </m:oMath>
      </m:oMathPara>
    </w:p>
    <w:p w14:paraId="092DC216" w14:textId="50167CC1" w:rsidR="0073496C" w:rsidRDefault="00816418" w:rsidP="0073496C">
      <w:pPr>
        <w:pStyle w:val="Heading1"/>
      </w:pPr>
      <w:r>
        <w:t>3</w:t>
      </w:r>
      <w:r w:rsidR="0073496C">
        <w:tab/>
        <w:t>Conclusion</w:t>
      </w:r>
      <w:r w:rsidR="00F1354A">
        <w:t>s</w:t>
      </w:r>
    </w:p>
    <w:p w14:paraId="097FDF14" w14:textId="4CC3AEFE" w:rsidR="00EE0DEA" w:rsidRDefault="00EE0DEA" w:rsidP="00C8539D">
      <w:r>
        <w:t xml:space="preserve">We proposed new formulas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offset,low</m:t>
            </m:r>
          </m:sub>
        </m:sSub>
      </m:oMath>
      <w:r w:rsidRPr="006D061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offset,high</m:t>
            </m:r>
          </m:sub>
        </m:sSub>
      </m:oMath>
      <w:r>
        <w:t xml:space="preserve"> which determine the sub-block edges in carrier aggregation. The new formulas guarantee that the aggregated channel bandwidth never exceeds the sum of </w:t>
      </w:r>
      <w:r w:rsidR="00682160">
        <w:t xml:space="preserve">CC </w:t>
      </w:r>
      <w:r>
        <w:t>bandwidths.</w:t>
      </w:r>
    </w:p>
    <w:p w14:paraId="3BD046B2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>Proposal</w:t>
      </w:r>
      <w:r>
        <w:rPr>
          <w:b/>
          <w:bCs/>
        </w:rPr>
        <w:t xml:space="preserve"> 1</w:t>
      </w:r>
      <w:r w:rsidRPr="006E418C">
        <w:rPr>
          <w:b/>
          <w:bCs/>
        </w:rPr>
        <w:t xml:space="preserve">: </w:t>
      </w:r>
      <w:r>
        <w:rPr>
          <w:b/>
          <w:bCs/>
        </w:rPr>
        <w:t>S</w:t>
      </w:r>
      <w:r w:rsidRPr="006E418C">
        <w:rPr>
          <w:b/>
          <w:bCs/>
        </w:rPr>
        <w:t xml:space="preserve">pecify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</m:oMath>
      <w:r w:rsidRPr="006E418C">
        <w:rPr>
          <w:b/>
          <w:bCs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</m:oMath>
      <w:r w:rsidRPr="006E418C">
        <w:rPr>
          <w:b/>
          <w:bCs/>
        </w:rPr>
        <w:t xml:space="preserve"> as follows:</w:t>
      </w:r>
    </w:p>
    <w:p w14:paraId="4034E79E" w14:textId="77777777" w:rsidR="00EE0DEA" w:rsidRDefault="00EE0DEA" w:rsidP="00EE0DEA">
      <w:pPr>
        <w:keepNext/>
        <w:keepLines/>
        <w:rPr>
          <w:b/>
          <w:bCs/>
        </w:rPr>
      </w:pPr>
      <w:r>
        <w:rPr>
          <w:b/>
          <w:bCs/>
        </w:rPr>
        <w:t xml:space="preserve">Define the guard exchange term as </w:t>
      </w:r>
    </w:p>
    <w:p w14:paraId="48A660C7" w14:textId="77777777" w:rsidR="00EE0DEA" w:rsidRDefault="00EE0DEA" w:rsidP="00EE0DEA">
      <w:pPr>
        <w:keepNext/>
        <w:keepLines/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  <w:b/>
              <w:bCs/>
              <w:i/>
            </w:rPr>
            <w:sym w:font="Symbol" w:char="F044"/>
          </m:r>
          <m:r>
            <m:rPr>
              <m:sty m:val="bi"/>
            </m:rPr>
            <w:rPr>
              <w:rFonts w:ascii="Cambria Math" w:hAnsi="Cambria Math"/>
            </w:rPr>
            <m:t>GB=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GB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Channel(2)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GB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Channel(1)</m:t>
              </m:r>
            </m:sub>
          </m:sSub>
        </m:oMath>
      </m:oMathPara>
    </w:p>
    <w:p w14:paraId="31DB9DF7" w14:textId="5EB2FA8D" w:rsidR="00EE0DEA" w:rsidRDefault="00EE0DEA" w:rsidP="00EE0DEA">
      <w:pPr>
        <w:keepNext/>
        <w:keepLines/>
        <w:rPr>
          <w:b/>
          <w:bCs/>
        </w:rPr>
      </w:pPr>
      <w:r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Channel(n)</m:t>
            </m:r>
          </m:sub>
        </m:sSub>
      </m:oMath>
      <w:r w:rsidRPr="006E418C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6E418C">
        <w:rPr>
          <w:b/>
          <w:bCs/>
        </w:rPr>
        <w:t xml:space="preserve">=1, 2) are the minimum guard band widths used in </w:t>
      </w:r>
      <w:r w:rsidR="00C623C1">
        <w:rPr>
          <w:b/>
          <w:bCs/>
        </w:rPr>
        <w:t xml:space="preserve">TS 38.101-1 </w:t>
      </w:r>
      <w:r w:rsidRPr="006E418C">
        <w:rPr>
          <w:b/>
          <w:bCs/>
        </w:rPr>
        <w:t xml:space="preserve">subclause 5.4A.1. </w:t>
      </w:r>
    </w:p>
    <w:p w14:paraId="5147E73E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 xml:space="preserve">If </w:t>
      </w:r>
      <m:oMath>
        <m:r>
          <m:rPr>
            <m:sty m:val="bi"/>
          </m:rPr>
          <w:rPr>
            <w:rFonts w:ascii="Cambria Math" w:hAnsi="Cambria Math"/>
            <w:b/>
            <w:bCs/>
            <w:i/>
          </w:rPr>
          <w:sym w:font="Symbol" w:char="F044"/>
        </m:r>
        <m:r>
          <m:rPr>
            <m:sty m:val="bi"/>
          </m:rPr>
          <w:rPr>
            <w:rFonts w:ascii="Cambria Math" w:hAnsi="Cambria Math"/>
          </w:rPr>
          <m:t>GB&gt;0</m:t>
        </m:r>
      </m:oMath>
      <w:r w:rsidRPr="006E418C">
        <w:rPr>
          <w:b/>
          <w:bCs/>
        </w:rPr>
        <w:t>,</w:t>
      </w:r>
    </w:p>
    <w:p w14:paraId="4E7F1F8C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b/>
                <w:bCs/>
                <w:i/>
              </w:rPr>
              <w:sym w:font="Symbol" w:char="F044"/>
            </m:r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</m:d>
      </m:oMath>
    </w:p>
    <w:p w14:paraId="7DEA1885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  <w:bCs/>
        </w:rPr>
        <w:t>,</w:t>
      </w:r>
    </w:p>
    <w:p w14:paraId="18BB9E48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>else</w:t>
      </w:r>
    </w:p>
    <w:p w14:paraId="70B3DC49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offset,low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</w:p>
    <w:p w14:paraId="3F16DC33" w14:textId="77777777" w:rsidR="00EE0DEA" w:rsidRPr="006E418C" w:rsidRDefault="00EE0DEA" w:rsidP="00EE0DEA">
      <w:pPr>
        <w:keepNext/>
        <w:keepLines/>
        <w:rPr>
          <w:b/>
          <w:bCs/>
        </w:rPr>
      </w:pPr>
      <w:r w:rsidRPr="006E418C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offset,high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b/>
                <w:bCs/>
                <w:i/>
              </w:rPr>
              <w:sym w:font="Symbol" w:char="F044"/>
            </m:r>
            <m:r>
              <m:rPr>
                <m:sty m:val="bi"/>
              </m:rPr>
              <w:rPr>
                <w:rFonts w:ascii="Cambria Math" w:hAnsi="Cambria Math"/>
              </w:rPr>
              <m:t>GB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</m:oMath>
    </w:p>
    <w:p w14:paraId="474BC57C" w14:textId="77777777" w:rsidR="003676FD" w:rsidRDefault="003676FD" w:rsidP="00C8539D"/>
    <w:p w14:paraId="111BD403" w14:textId="5CF3858C" w:rsidR="00611353" w:rsidRDefault="00E53F92" w:rsidP="00C8539D">
      <w:r>
        <w:t>T</w:t>
      </w:r>
      <w:r w:rsidR="002E6CCD">
        <w:t xml:space="preserve">he </w:t>
      </w:r>
      <w:r w:rsidR="0075394B">
        <w:t>nominal channel spacing and sub-block guards depend on the operating band</w:t>
      </w:r>
      <w:r w:rsidR="003A0417">
        <w:t xml:space="preserve">. </w:t>
      </w:r>
      <w:r w:rsidR="00736D29">
        <w:t xml:space="preserve">However, </w:t>
      </w:r>
      <w:r w:rsidR="003A0417">
        <w:t>the specified MPR must be valid for all operating band</w:t>
      </w:r>
      <w:r w:rsidR="00822C23">
        <w:t>s</w:t>
      </w:r>
      <w:r w:rsidR="00736D29">
        <w:t>. We proposed a way to simulate or measure MPR</w:t>
      </w:r>
      <w:r w:rsidR="00B937C9">
        <w:t xml:space="preserve"> </w:t>
      </w:r>
      <w:r w:rsidR="00716127">
        <w:t xml:space="preserve">values </w:t>
      </w:r>
      <w:r w:rsidR="00B937C9">
        <w:t xml:space="preserve">that </w:t>
      </w:r>
      <w:r w:rsidR="00716127">
        <w:t xml:space="preserve">are </w:t>
      </w:r>
      <w:r w:rsidR="00B937C9">
        <w:t>guaranteed to be sufficient in all current and future operating bands</w:t>
      </w:r>
      <w:r w:rsidR="00DC5196">
        <w:t>.</w:t>
      </w:r>
    </w:p>
    <w:p w14:paraId="5D554156" w14:textId="1B334F25" w:rsidR="000D385E" w:rsidRDefault="000D385E" w:rsidP="000D385E">
      <w:r>
        <w:t>We also proposed how to define the measurement bandwidth and frequency offset for CA ACLR:</w:t>
      </w:r>
    </w:p>
    <w:p w14:paraId="5571B357" w14:textId="3E2EB777" w:rsidR="007268A2" w:rsidRDefault="007268A2" w:rsidP="007268A2">
      <w:pPr>
        <w:rPr>
          <w:b/>
          <w:bCs/>
        </w:rPr>
      </w:pPr>
      <w:r w:rsidRPr="006F4A5E">
        <w:rPr>
          <w:b/>
          <w:bCs/>
        </w:rPr>
        <w:t>Proposal 2:</w:t>
      </w:r>
      <w:r>
        <w:rPr>
          <w:b/>
          <w:bCs/>
        </w:rPr>
        <w:t xml:space="preserve"> Define the CA ACLR measurement bandwidth and frequency offset as</w:t>
      </w:r>
    </w:p>
    <w:p w14:paraId="0DAEE9F3" w14:textId="00BFB43A" w:rsidR="007268A2" w:rsidRPr="006F4A5E" w:rsidRDefault="00907E71" w:rsidP="007268A2">
      <w:pPr>
        <w:rPr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ACLR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Channel_CA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-2 min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offset,low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ACLR,1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offset,high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MBW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ACLR,2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0A51D75D" w14:textId="77777777" w:rsidR="007268A2" w:rsidRPr="00262912" w:rsidRDefault="00907E71" w:rsidP="007268A2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ACLR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Channel_CA</m:t>
              </m:r>
            </m:sub>
          </m:sSub>
        </m:oMath>
      </m:oMathPara>
    </w:p>
    <w:p w14:paraId="625975EF" w14:textId="1D0E321C" w:rsidR="007268A2" w:rsidRDefault="007268A2" w:rsidP="00C8539D"/>
    <w:p w14:paraId="44A51F4F" w14:textId="77777777" w:rsidR="007268A2" w:rsidRDefault="007268A2" w:rsidP="00C8539D"/>
    <w:p w14:paraId="0B573D9D" w14:textId="60ACA2BF" w:rsidR="00020F23" w:rsidRDefault="00816418" w:rsidP="00020F23">
      <w:pPr>
        <w:pStyle w:val="Heading1"/>
      </w:pPr>
      <w:r>
        <w:t>4</w:t>
      </w:r>
      <w:r w:rsidR="00020F23">
        <w:tab/>
        <w:t>References</w:t>
      </w:r>
    </w:p>
    <w:p w14:paraId="3FFC7D80" w14:textId="77777777" w:rsidR="00EB4CBD" w:rsidRPr="00020F23" w:rsidRDefault="00EB4CBD" w:rsidP="00EB4CBD">
      <w:r>
        <w:rPr>
          <w:lang w:val="en-US"/>
        </w:rPr>
        <w:t xml:space="preserve">[1] </w:t>
      </w:r>
      <w:r w:rsidRPr="00767DF8">
        <w:rPr>
          <w:lang w:val="en-US"/>
        </w:rPr>
        <w:t>R4-2001385</w:t>
      </w:r>
      <w:r>
        <w:rPr>
          <w:lang w:val="en-US"/>
        </w:rPr>
        <w:t xml:space="preserve">, </w:t>
      </w:r>
      <w:r>
        <w:t>Problems with CA channel arrangement, Nokia, RAN4</w:t>
      </w:r>
      <w:r w:rsidRPr="00767DF8">
        <w:t>#94</w:t>
      </w:r>
    </w:p>
    <w:p w14:paraId="2CE36828" w14:textId="2C915B0A" w:rsidR="00A46001" w:rsidRPr="00C16A14" w:rsidRDefault="00020F23" w:rsidP="00F1354A">
      <w:pPr>
        <w:rPr>
          <w:bCs/>
        </w:rPr>
      </w:pPr>
      <w:r>
        <w:t>[</w:t>
      </w:r>
      <w:r w:rsidR="00EB4CBD">
        <w:t>2</w:t>
      </w:r>
      <w:r>
        <w:t>]</w:t>
      </w:r>
      <w:r w:rsidRPr="00020F23">
        <w:t xml:space="preserve"> </w:t>
      </w:r>
      <w:r w:rsidR="00767DF8" w:rsidRPr="00767DF8">
        <w:rPr>
          <w:bCs/>
        </w:rPr>
        <w:t>R4-2002804</w:t>
      </w:r>
      <w:r>
        <w:t xml:space="preserve">, </w:t>
      </w:r>
      <w:r w:rsidR="00767DF8" w:rsidRPr="00767DF8">
        <w:rPr>
          <w:lang w:val="en-US"/>
        </w:rPr>
        <w:t>WF on emission requirement for intra-band contiguous UL CA</w:t>
      </w:r>
      <w:r w:rsidR="00454593">
        <w:rPr>
          <w:lang w:val="en-US"/>
        </w:rPr>
        <w:t>, RAN4#94e</w:t>
      </w:r>
    </w:p>
    <w:p w14:paraId="51D0F1BB" w14:textId="77777777" w:rsidR="00F1354A" w:rsidRPr="00F1354A" w:rsidRDefault="00F1354A" w:rsidP="00F1354A"/>
    <w:sectPr w:rsidR="00F1354A" w:rsidRPr="00F1354A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7530F" w14:textId="77777777" w:rsidR="00907E71" w:rsidRDefault="00907E71" w:rsidP="002B3503">
      <w:pPr>
        <w:spacing w:after="0"/>
      </w:pPr>
      <w:r>
        <w:separator/>
      </w:r>
    </w:p>
  </w:endnote>
  <w:endnote w:type="continuationSeparator" w:id="0">
    <w:p w14:paraId="2CFCCD79" w14:textId="77777777" w:rsidR="00907E71" w:rsidRDefault="00907E7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100C0" w14:textId="77777777" w:rsidR="00907E71" w:rsidRDefault="00907E71" w:rsidP="002B3503">
      <w:pPr>
        <w:spacing w:after="0"/>
      </w:pPr>
      <w:r>
        <w:separator/>
      </w:r>
    </w:p>
  </w:footnote>
  <w:footnote w:type="continuationSeparator" w:id="0">
    <w:p w14:paraId="11B9B1CC" w14:textId="77777777" w:rsidR="00907E71" w:rsidRDefault="00907E7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8CE43" w14:textId="77777777" w:rsidR="00F725DC" w:rsidRDefault="00F725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362B"/>
    <w:multiLevelType w:val="hybridMultilevel"/>
    <w:tmpl w:val="83FA7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2502"/>
    <w:multiLevelType w:val="hybridMultilevel"/>
    <w:tmpl w:val="F5A41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B3DEC"/>
    <w:multiLevelType w:val="hybridMultilevel"/>
    <w:tmpl w:val="ADFE7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30"/>
    <w:rsid w:val="000008B4"/>
    <w:rsid w:val="0000645E"/>
    <w:rsid w:val="00015ED1"/>
    <w:rsid w:val="00020F23"/>
    <w:rsid w:val="00022311"/>
    <w:rsid w:val="0003263E"/>
    <w:rsid w:val="000370A5"/>
    <w:rsid w:val="00037DDF"/>
    <w:rsid w:val="00040B8F"/>
    <w:rsid w:val="00043EAF"/>
    <w:rsid w:val="00046F30"/>
    <w:rsid w:val="00052CA4"/>
    <w:rsid w:val="00067294"/>
    <w:rsid w:val="00072376"/>
    <w:rsid w:val="0007369A"/>
    <w:rsid w:val="00075BE1"/>
    <w:rsid w:val="00080A8D"/>
    <w:rsid w:val="00080FCB"/>
    <w:rsid w:val="00081376"/>
    <w:rsid w:val="00084771"/>
    <w:rsid w:val="0008585F"/>
    <w:rsid w:val="00091F0B"/>
    <w:rsid w:val="000A2EA4"/>
    <w:rsid w:val="000A3DFD"/>
    <w:rsid w:val="000A6473"/>
    <w:rsid w:val="000A6A9A"/>
    <w:rsid w:val="000B0C5F"/>
    <w:rsid w:val="000B3B17"/>
    <w:rsid w:val="000B4E56"/>
    <w:rsid w:val="000B5E8E"/>
    <w:rsid w:val="000B7D73"/>
    <w:rsid w:val="000C4437"/>
    <w:rsid w:val="000D385E"/>
    <w:rsid w:val="000D3D6F"/>
    <w:rsid w:val="000D460F"/>
    <w:rsid w:val="000D4F74"/>
    <w:rsid w:val="000D69FB"/>
    <w:rsid w:val="000E4D14"/>
    <w:rsid w:val="000F2546"/>
    <w:rsid w:val="000F2935"/>
    <w:rsid w:val="000F50EC"/>
    <w:rsid w:val="00101626"/>
    <w:rsid w:val="00103568"/>
    <w:rsid w:val="00110E6B"/>
    <w:rsid w:val="00112CC2"/>
    <w:rsid w:val="00113DD7"/>
    <w:rsid w:val="001221D2"/>
    <w:rsid w:val="001355A1"/>
    <w:rsid w:val="001364A1"/>
    <w:rsid w:val="001424CD"/>
    <w:rsid w:val="00143536"/>
    <w:rsid w:val="001458FC"/>
    <w:rsid w:val="0015000E"/>
    <w:rsid w:val="00152C6C"/>
    <w:rsid w:val="0015578A"/>
    <w:rsid w:val="00155DF1"/>
    <w:rsid w:val="001568C3"/>
    <w:rsid w:val="001604A3"/>
    <w:rsid w:val="0016131F"/>
    <w:rsid w:val="00164F39"/>
    <w:rsid w:val="00170D76"/>
    <w:rsid w:val="00171112"/>
    <w:rsid w:val="00171C7B"/>
    <w:rsid w:val="0017287C"/>
    <w:rsid w:val="00174C78"/>
    <w:rsid w:val="001751F1"/>
    <w:rsid w:val="00184AC8"/>
    <w:rsid w:val="00185DC3"/>
    <w:rsid w:val="00187AC5"/>
    <w:rsid w:val="001953B8"/>
    <w:rsid w:val="001B6495"/>
    <w:rsid w:val="001B7911"/>
    <w:rsid w:val="001C1301"/>
    <w:rsid w:val="001C473D"/>
    <w:rsid w:val="001C5752"/>
    <w:rsid w:val="001D0D76"/>
    <w:rsid w:val="001D3D7E"/>
    <w:rsid w:val="001D44A7"/>
    <w:rsid w:val="001D4AE2"/>
    <w:rsid w:val="001D4C48"/>
    <w:rsid w:val="001D64A5"/>
    <w:rsid w:val="001D6BD7"/>
    <w:rsid w:val="001D6EEB"/>
    <w:rsid w:val="001D7193"/>
    <w:rsid w:val="001E4F63"/>
    <w:rsid w:val="001E5EC2"/>
    <w:rsid w:val="002127E2"/>
    <w:rsid w:val="00214C87"/>
    <w:rsid w:val="00214CF4"/>
    <w:rsid w:val="00215035"/>
    <w:rsid w:val="00215117"/>
    <w:rsid w:val="00215789"/>
    <w:rsid w:val="002214CD"/>
    <w:rsid w:val="002254EE"/>
    <w:rsid w:val="00230F65"/>
    <w:rsid w:val="00233026"/>
    <w:rsid w:val="002350F3"/>
    <w:rsid w:val="0023646B"/>
    <w:rsid w:val="0024072D"/>
    <w:rsid w:val="0024198D"/>
    <w:rsid w:val="00241B15"/>
    <w:rsid w:val="00241E14"/>
    <w:rsid w:val="00244F28"/>
    <w:rsid w:val="00251DD6"/>
    <w:rsid w:val="00253B12"/>
    <w:rsid w:val="00260340"/>
    <w:rsid w:val="002624A3"/>
    <w:rsid w:val="00262912"/>
    <w:rsid w:val="00270FE2"/>
    <w:rsid w:val="0027105B"/>
    <w:rsid w:val="00272639"/>
    <w:rsid w:val="00273303"/>
    <w:rsid w:val="0028530D"/>
    <w:rsid w:val="00285635"/>
    <w:rsid w:val="00291DDD"/>
    <w:rsid w:val="002A17AA"/>
    <w:rsid w:val="002A3D4F"/>
    <w:rsid w:val="002A45FF"/>
    <w:rsid w:val="002A5E4D"/>
    <w:rsid w:val="002A7181"/>
    <w:rsid w:val="002B3503"/>
    <w:rsid w:val="002B4CCC"/>
    <w:rsid w:val="002B520A"/>
    <w:rsid w:val="002C2C9A"/>
    <w:rsid w:val="002C5D44"/>
    <w:rsid w:val="002C765C"/>
    <w:rsid w:val="002D001C"/>
    <w:rsid w:val="002D218E"/>
    <w:rsid w:val="002D2822"/>
    <w:rsid w:val="002D4117"/>
    <w:rsid w:val="002E28FE"/>
    <w:rsid w:val="002E6C07"/>
    <w:rsid w:val="002E6CCD"/>
    <w:rsid w:val="002F54B1"/>
    <w:rsid w:val="002F6A38"/>
    <w:rsid w:val="0030075D"/>
    <w:rsid w:val="00301E7C"/>
    <w:rsid w:val="0030478A"/>
    <w:rsid w:val="00304DA8"/>
    <w:rsid w:val="00306EBE"/>
    <w:rsid w:val="00315F4B"/>
    <w:rsid w:val="003168D8"/>
    <w:rsid w:val="00317AD4"/>
    <w:rsid w:val="00317E88"/>
    <w:rsid w:val="00320055"/>
    <w:rsid w:val="00320CE0"/>
    <w:rsid w:val="00324705"/>
    <w:rsid w:val="00333F6F"/>
    <w:rsid w:val="00347DEA"/>
    <w:rsid w:val="00363289"/>
    <w:rsid w:val="003634A3"/>
    <w:rsid w:val="00363E7E"/>
    <w:rsid w:val="00365E0B"/>
    <w:rsid w:val="003676FD"/>
    <w:rsid w:val="00371041"/>
    <w:rsid w:val="003732AC"/>
    <w:rsid w:val="003777FE"/>
    <w:rsid w:val="00393912"/>
    <w:rsid w:val="00393DE0"/>
    <w:rsid w:val="003973F4"/>
    <w:rsid w:val="003A0417"/>
    <w:rsid w:val="003A23B2"/>
    <w:rsid w:val="003A352E"/>
    <w:rsid w:val="003B4167"/>
    <w:rsid w:val="003B4A64"/>
    <w:rsid w:val="003C42AC"/>
    <w:rsid w:val="003C6403"/>
    <w:rsid w:val="003D1629"/>
    <w:rsid w:val="003E1BDB"/>
    <w:rsid w:val="003E31DF"/>
    <w:rsid w:val="003E42A7"/>
    <w:rsid w:val="003F7C08"/>
    <w:rsid w:val="00400F07"/>
    <w:rsid w:val="0040122F"/>
    <w:rsid w:val="00402DF6"/>
    <w:rsid w:val="00406D64"/>
    <w:rsid w:val="004148DE"/>
    <w:rsid w:val="00417DFF"/>
    <w:rsid w:val="0042109F"/>
    <w:rsid w:val="004243F0"/>
    <w:rsid w:val="00426A90"/>
    <w:rsid w:val="0043186F"/>
    <w:rsid w:val="00432A29"/>
    <w:rsid w:val="00433396"/>
    <w:rsid w:val="00433EF9"/>
    <w:rsid w:val="0043450E"/>
    <w:rsid w:val="004369F3"/>
    <w:rsid w:val="00442CAC"/>
    <w:rsid w:val="00446A14"/>
    <w:rsid w:val="0044755E"/>
    <w:rsid w:val="004524FA"/>
    <w:rsid w:val="00453BA5"/>
    <w:rsid w:val="00454593"/>
    <w:rsid w:val="00454ACD"/>
    <w:rsid w:val="00454D88"/>
    <w:rsid w:val="00454E53"/>
    <w:rsid w:val="004600FE"/>
    <w:rsid w:val="0046229B"/>
    <w:rsid w:val="004767BE"/>
    <w:rsid w:val="0048027D"/>
    <w:rsid w:val="004804F6"/>
    <w:rsid w:val="0048076B"/>
    <w:rsid w:val="00481449"/>
    <w:rsid w:val="00482477"/>
    <w:rsid w:val="00482DDD"/>
    <w:rsid w:val="00484C05"/>
    <w:rsid w:val="00487E89"/>
    <w:rsid w:val="00490A44"/>
    <w:rsid w:val="00491386"/>
    <w:rsid w:val="00494F18"/>
    <w:rsid w:val="004A0078"/>
    <w:rsid w:val="004A41DA"/>
    <w:rsid w:val="004A7191"/>
    <w:rsid w:val="004B3736"/>
    <w:rsid w:val="004B6978"/>
    <w:rsid w:val="004B7E43"/>
    <w:rsid w:val="004C0103"/>
    <w:rsid w:val="004C2A76"/>
    <w:rsid w:val="004C58F9"/>
    <w:rsid w:val="004D0C67"/>
    <w:rsid w:val="004D3D81"/>
    <w:rsid w:val="004D4B59"/>
    <w:rsid w:val="004E3B18"/>
    <w:rsid w:val="004E3CB2"/>
    <w:rsid w:val="004E4EFF"/>
    <w:rsid w:val="004E618A"/>
    <w:rsid w:val="004F43E1"/>
    <w:rsid w:val="004F6707"/>
    <w:rsid w:val="00502162"/>
    <w:rsid w:val="00502DD3"/>
    <w:rsid w:val="005052DF"/>
    <w:rsid w:val="00512551"/>
    <w:rsid w:val="00513F29"/>
    <w:rsid w:val="0052117E"/>
    <w:rsid w:val="00522C8C"/>
    <w:rsid w:val="00522EB9"/>
    <w:rsid w:val="005240E7"/>
    <w:rsid w:val="005309B7"/>
    <w:rsid w:val="00530E0A"/>
    <w:rsid w:val="005313F4"/>
    <w:rsid w:val="00534A7D"/>
    <w:rsid w:val="00535C53"/>
    <w:rsid w:val="005375B1"/>
    <w:rsid w:val="00544A7D"/>
    <w:rsid w:val="00546470"/>
    <w:rsid w:val="0055280B"/>
    <w:rsid w:val="00555F37"/>
    <w:rsid w:val="00560A63"/>
    <w:rsid w:val="00560EC7"/>
    <w:rsid w:val="00564B2E"/>
    <w:rsid w:val="00570B14"/>
    <w:rsid w:val="00571853"/>
    <w:rsid w:val="005729A5"/>
    <w:rsid w:val="0057689F"/>
    <w:rsid w:val="00577FE4"/>
    <w:rsid w:val="00580245"/>
    <w:rsid w:val="00582220"/>
    <w:rsid w:val="00587953"/>
    <w:rsid w:val="00591FDF"/>
    <w:rsid w:val="005A35C6"/>
    <w:rsid w:val="005A6A8D"/>
    <w:rsid w:val="005A7283"/>
    <w:rsid w:val="005B1B8B"/>
    <w:rsid w:val="005B2640"/>
    <w:rsid w:val="005C1A1D"/>
    <w:rsid w:val="005C3D22"/>
    <w:rsid w:val="005D07B5"/>
    <w:rsid w:val="005D3432"/>
    <w:rsid w:val="005D368C"/>
    <w:rsid w:val="005E28CC"/>
    <w:rsid w:val="005E7816"/>
    <w:rsid w:val="005F4052"/>
    <w:rsid w:val="005F6CE3"/>
    <w:rsid w:val="00602EB6"/>
    <w:rsid w:val="0060678C"/>
    <w:rsid w:val="006104AF"/>
    <w:rsid w:val="00610EF2"/>
    <w:rsid w:val="00611353"/>
    <w:rsid w:val="00631465"/>
    <w:rsid w:val="006324A6"/>
    <w:rsid w:val="00632E78"/>
    <w:rsid w:val="00641C2E"/>
    <w:rsid w:val="00641E1F"/>
    <w:rsid w:val="00642784"/>
    <w:rsid w:val="00644F6B"/>
    <w:rsid w:val="00650590"/>
    <w:rsid w:val="006521DB"/>
    <w:rsid w:val="0065491D"/>
    <w:rsid w:val="00664DF6"/>
    <w:rsid w:val="00682160"/>
    <w:rsid w:val="00686D44"/>
    <w:rsid w:val="006919C7"/>
    <w:rsid w:val="00695AB5"/>
    <w:rsid w:val="006A0DB1"/>
    <w:rsid w:val="006B144C"/>
    <w:rsid w:val="006B1618"/>
    <w:rsid w:val="006B32CF"/>
    <w:rsid w:val="006B5085"/>
    <w:rsid w:val="006B58FE"/>
    <w:rsid w:val="006C13B1"/>
    <w:rsid w:val="006C34E2"/>
    <w:rsid w:val="006C6356"/>
    <w:rsid w:val="006C6840"/>
    <w:rsid w:val="006D061B"/>
    <w:rsid w:val="006D12DA"/>
    <w:rsid w:val="006D344A"/>
    <w:rsid w:val="006D575C"/>
    <w:rsid w:val="006D77C8"/>
    <w:rsid w:val="006E1AD8"/>
    <w:rsid w:val="006E418C"/>
    <w:rsid w:val="006E52FC"/>
    <w:rsid w:val="006E5469"/>
    <w:rsid w:val="006F03B4"/>
    <w:rsid w:val="006F1606"/>
    <w:rsid w:val="00700831"/>
    <w:rsid w:val="0070127A"/>
    <w:rsid w:val="00703672"/>
    <w:rsid w:val="007116E4"/>
    <w:rsid w:val="007146FA"/>
    <w:rsid w:val="00716127"/>
    <w:rsid w:val="007205D7"/>
    <w:rsid w:val="00721516"/>
    <w:rsid w:val="00722487"/>
    <w:rsid w:val="00726265"/>
    <w:rsid w:val="007268A2"/>
    <w:rsid w:val="00733487"/>
    <w:rsid w:val="00733AD1"/>
    <w:rsid w:val="0073496C"/>
    <w:rsid w:val="00734EBD"/>
    <w:rsid w:val="00736D29"/>
    <w:rsid w:val="00742DFB"/>
    <w:rsid w:val="00743B33"/>
    <w:rsid w:val="007474D3"/>
    <w:rsid w:val="007534E5"/>
    <w:rsid w:val="0075394B"/>
    <w:rsid w:val="0076315E"/>
    <w:rsid w:val="007631E5"/>
    <w:rsid w:val="0076359B"/>
    <w:rsid w:val="007645C5"/>
    <w:rsid w:val="00767DF8"/>
    <w:rsid w:val="0077304E"/>
    <w:rsid w:val="00775BF6"/>
    <w:rsid w:val="00776BD2"/>
    <w:rsid w:val="0078436C"/>
    <w:rsid w:val="007876BD"/>
    <w:rsid w:val="00790730"/>
    <w:rsid w:val="0079231B"/>
    <w:rsid w:val="00794808"/>
    <w:rsid w:val="007A1C7C"/>
    <w:rsid w:val="007B4C53"/>
    <w:rsid w:val="007B5010"/>
    <w:rsid w:val="007B6707"/>
    <w:rsid w:val="007B7B7C"/>
    <w:rsid w:val="007D02CD"/>
    <w:rsid w:val="007D0347"/>
    <w:rsid w:val="007D20DF"/>
    <w:rsid w:val="007D2B1B"/>
    <w:rsid w:val="007D6915"/>
    <w:rsid w:val="007E4FFE"/>
    <w:rsid w:val="007E54F6"/>
    <w:rsid w:val="007E561E"/>
    <w:rsid w:val="007E64E4"/>
    <w:rsid w:val="007F13D1"/>
    <w:rsid w:val="007F7086"/>
    <w:rsid w:val="00801F49"/>
    <w:rsid w:val="008049D8"/>
    <w:rsid w:val="00804A45"/>
    <w:rsid w:val="00812A6A"/>
    <w:rsid w:val="00816418"/>
    <w:rsid w:val="00820359"/>
    <w:rsid w:val="00820BC5"/>
    <w:rsid w:val="00820F65"/>
    <w:rsid w:val="00821771"/>
    <w:rsid w:val="00822C23"/>
    <w:rsid w:val="00822FAB"/>
    <w:rsid w:val="008236E4"/>
    <w:rsid w:val="00824917"/>
    <w:rsid w:val="00824AA2"/>
    <w:rsid w:val="008251E5"/>
    <w:rsid w:val="00825EB8"/>
    <w:rsid w:val="00850296"/>
    <w:rsid w:val="0085459F"/>
    <w:rsid w:val="00856F17"/>
    <w:rsid w:val="00864F8D"/>
    <w:rsid w:val="00872BED"/>
    <w:rsid w:val="00876412"/>
    <w:rsid w:val="0087673C"/>
    <w:rsid w:val="008902FD"/>
    <w:rsid w:val="008920E4"/>
    <w:rsid w:val="008A4493"/>
    <w:rsid w:val="008C05B8"/>
    <w:rsid w:val="008C5176"/>
    <w:rsid w:val="008C7CA2"/>
    <w:rsid w:val="008D1665"/>
    <w:rsid w:val="008D3CFE"/>
    <w:rsid w:val="008E2A72"/>
    <w:rsid w:val="008F6EEA"/>
    <w:rsid w:val="008F7DCD"/>
    <w:rsid w:val="009020AA"/>
    <w:rsid w:val="00905D49"/>
    <w:rsid w:val="009064A4"/>
    <w:rsid w:val="00907E71"/>
    <w:rsid w:val="00912ED1"/>
    <w:rsid w:val="0091383D"/>
    <w:rsid w:val="00914272"/>
    <w:rsid w:val="0091652E"/>
    <w:rsid w:val="00921AD2"/>
    <w:rsid w:val="00924A3B"/>
    <w:rsid w:val="00925CB5"/>
    <w:rsid w:val="00930B1E"/>
    <w:rsid w:val="0093317C"/>
    <w:rsid w:val="0093409F"/>
    <w:rsid w:val="00940122"/>
    <w:rsid w:val="00940559"/>
    <w:rsid w:val="0094195E"/>
    <w:rsid w:val="0095488E"/>
    <w:rsid w:val="009627F3"/>
    <w:rsid w:val="00965339"/>
    <w:rsid w:val="0096646D"/>
    <w:rsid w:val="00966970"/>
    <w:rsid w:val="00967A94"/>
    <w:rsid w:val="00971F40"/>
    <w:rsid w:val="009756B8"/>
    <w:rsid w:val="0097609B"/>
    <w:rsid w:val="009819B9"/>
    <w:rsid w:val="0098448D"/>
    <w:rsid w:val="00987E38"/>
    <w:rsid w:val="00990900"/>
    <w:rsid w:val="00991CA3"/>
    <w:rsid w:val="009943D4"/>
    <w:rsid w:val="00994B01"/>
    <w:rsid w:val="00995E87"/>
    <w:rsid w:val="00996062"/>
    <w:rsid w:val="009A0815"/>
    <w:rsid w:val="009A4887"/>
    <w:rsid w:val="009B1E68"/>
    <w:rsid w:val="009C0E9B"/>
    <w:rsid w:val="009D101D"/>
    <w:rsid w:val="009D1984"/>
    <w:rsid w:val="009E3914"/>
    <w:rsid w:val="009E6BD6"/>
    <w:rsid w:val="009E6FCA"/>
    <w:rsid w:val="009F0064"/>
    <w:rsid w:val="009F1850"/>
    <w:rsid w:val="009F2248"/>
    <w:rsid w:val="00A033D4"/>
    <w:rsid w:val="00A039A3"/>
    <w:rsid w:val="00A06377"/>
    <w:rsid w:val="00A064ED"/>
    <w:rsid w:val="00A1000C"/>
    <w:rsid w:val="00A15BCC"/>
    <w:rsid w:val="00A226F6"/>
    <w:rsid w:val="00A25C4E"/>
    <w:rsid w:val="00A27031"/>
    <w:rsid w:val="00A27433"/>
    <w:rsid w:val="00A30DC4"/>
    <w:rsid w:val="00A30FE3"/>
    <w:rsid w:val="00A31791"/>
    <w:rsid w:val="00A31DA7"/>
    <w:rsid w:val="00A34D00"/>
    <w:rsid w:val="00A36EEE"/>
    <w:rsid w:val="00A41416"/>
    <w:rsid w:val="00A451E8"/>
    <w:rsid w:val="00A46001"/>
    <w:rsid w:val="00A5064C"/>
    <w:rsid w:val="00A51E60"/>
    <w:rsid w:val="00A52371"/>
    <w:rsid w:val="00A537FC"/>
    <w:rsid w:val="00A55ECB"/>
    <w:rsid w:val="00A56BBB"/>
    <w:rsid w:val="00A6018C"/>
    <w:rsid w:val="00A673E6"/>
    <w:rsid w:val="00A67A94"/>
    <w:rsid w:val="00A7108C"/>
    <w:rsid w:val="00A71D69"/>
    <w:rsid w:val="00A72CD9"/>
    <w:rsid w:val="00A767DC"/>
    <w:rsid w:val="00A7711D"/>
    <w:rsid w:val="00A80F73"/>
    <w:rsid w:val="00A91B82"/>
    <w:rsid w:val="00A92637"/>
    <w:rsid w:val="00AB074C"/>
    <w:rsid w:val="00AB1753"/>
    <w:rsid w:val="00AB37F0"/>
    <w:rsid w:val="00AC057A"/>
    <w:rsid w:val="00AC111E"/>
    <w:rsid w:val="00AC344B"/>
    <w:rsid w:val="00AC50AB"/>
    <w:rsid w:val="00AD1832"/>
    <w:rsid w:val="00AE09F6"/>
    <w:rsid w:val="00AE3721"/>
    <w:rsid w:val="00AE62DA"/>
    <w:rsid w:val="00AE6327"/>
    <w:rsid w:val="00AF0724"/>
    <w:rsid w:val="00AF7CB0"/>
    <w:rsid w:val="00B0192C"/>
    <w:rsid w:val="00B03D88"/>
    <w:rsid w:val="00B062D1"/>
    <w:rsid w:val="00B10860"/>
    <w:rsid w:val="00B11C52"/>
    <w:rsid w:val="00B120AC"/>
    <w:rsid w:val="00B12B0F"/>
    <w:rsid w:val="00B16D0D"/>
    <w:rsid w:val="00B1753D"/>
    <w:rsid w:val="00B20926"/>
    <w:rsid w:val="00B337FE"/>
    <w:rsid w:val="00B33A60"/>
    <w:rsid w:val="00B365C5"/>
    <w:rsid w:val="00B42ADE"/>
    <w:rsid w:val="00B43457"/>
    <w:rsid w:val="00B4385F"/>
    <w:rsid w:val="00B442B7"/>
    <w:rsid w:val="00B5146B"/>
    <w:rsid w:val="00B53C85"/>
    <w:rsid w:val="00B56A24"/>
    <w:rsid w:val="00B63135"/>
    <w:rsid w:val="00B65B59"/>
    <w:rsid w:val="00B66628"/>
    <w:rsid w:val="00B71EEA"/>
    <w:rsid w:val="00B811AA"/>
    <w:rsid w:val="00B813D6"/>
    <w:rsid w:val="00B84703"/>
    <w:rsid w:val="00B86AB3"/>
    <w:rsid w:val="00B91F41"/>
    <w:rsid w:val="00B937C9"/>
    <w:rsid w:val="00B958E5"/>
    <w:rsid w:val="00BA62DE"/>
    <w:rsid w:val="00BA64BD"/>
    <w:rsid w:val="00BA6533"/>
    <w:rsid w:val="00BB1927"/>
    <w:rsid w:val="00BB3FCC"/>
    <w:rsid w:val="00BC764C"/>
    <w:rsid w:val="00BC7DB0"/>
    <w:rsid w:val="00BC7EC8"/>
    <w:rsid w:val="00BE1016"/>
    <w:rsid w:val="00BE6DF3"/>
    <w:rsid w:val="00BF3C61"/>
    <w:rsid w:val="00BF4228"/>
    <w:rsid w:val="00BF4B17"/>
    <w:rsid w:val="00C00207"/>
    <w:rsid w:val="00C047FB"/>
    <w:rsid w:val="00C13450"/>
    <w:rsid w:val="00C143D3"/>
    <w:rsid w:val="00C158F5"/>
    <w:rsid w:val="00C15B40"/>
    <w:rsid w:val="00C165DA"/>
    <w:rsid w:val="00C16A14"/>
    <w:rsid w:val="00C20690"/>
    <w:rsid w:val="00C20F54"/>
    <w:rsid w:val="00C21101"/>
    <w:rsid w:val="00C21106"/>
    <w:rsid w:val="00C21554"/>
    <w:rsid w:val="00C22817"/>
    <w:rsid w:val="00C22A9D"/>
    <w:rsid w:val="00C23CC0"/>
    <w:rsid w:val="00C27BDE"/>
    <w:rsid w:val="00C3011C"/>
    <w:rsid w:val="00C327CC"/>
    <w:rsid w:val="00C33B37"/>
    <w:rsid w:val="00C352D4"/>
    <w:rsid w:val="00C37C7E"/>
    <w:rsid w:val="00C40B9D"/>
    <w:rsid w:val="00C44488"/>
    <w:rsid w:val="00C451EC"/>
    <w:rsid w:val="00C574AC"/>
    <w:rsid w:val="00C6032C"/>
    <w:rsid w:val="00C623C1"/>
    <w:rsid w:val="00C62815"/>
    <w:rsid w:val="00C65393"/>
    <w:rsid w:val="00C658B1"/>
    <w:rsid w:val="00C66478"/>
    <w:rsid w:val="00C750A4"/>
    <w:rsid w:val="00C81014"/>
    <w:rsid w:val="00C81190"/>
    <w:rsid w:val="00C8539D"/>
    <w:rsid w:val="00C86FD9"/>
    <w:rsid w:val="00C93BF8"/>
    <w:rsid w:val="00C9571C"/>
    <w:rsid w:val="00CA1683"/>
    <w:rsid w:val="00CA30CE"/>
    <w:rsid w:val="00CB13CE"/>
    <w:rsid w:val="00CC1396"/>
    <w:rsid w:val="00CD25F8"/>
    <w:rsid w:val="00CD4A7E"/>
    <w:rsid w:val="00CD6564"/>
    <w:rsid w:val="00CD78EA"/>
    <w:rsid w:val="00CE4DA7"/>
    <w:rsid w:val="00CE5146"/>
    <w:rsid w:val="00CE6B66"/>
    <w:rsid w:val="00CF4412"/>
    <w:rsid w:val="00CF4FAE"/>
    <w:rsid w:val="00CF77FC"/>
    <w:rsid w:val="00D06799"/>
    <w:rsid w:val="00D07AD5"/>
    <w:rsid w:val="00D100B5"/>
    <w:rsid w:val="00D1013C"/>
    <w:rsid w:val="00D11513"/>
    <w:rsid w:val="00D1205D"/>
    <w:rsid w:val="00D20234"/>
    <w:rsid w:val="00D274A6"/>
    <w:rsid w:val="00D275CC"/>
    <w:rsid w:val="00D32A77"/>
    <w:rsid w:val="00D34F9B"/>
    <w:rsid w:val="00D461DF"/>
    <w:rsid w:val="00D47A46"/>
    <w:rsid w:val="00D5599D"/>
    <w:rsid w:val="00D566FC"/>
    <w:rsid w:val="00D609C7"/>
    <w:rsid w:val="00D610B3"/>
    <w:rsid w:val="00D6152B"/>
    <w:rsid w:val="00D6300C"/>
    <w:rsid w:val="00D65D57"/>
    <w:rsid w:val="00D66402"/>
    <w:rsid w:val="00D66B54"/>
    <w:rsid w:val="00D7088E"/>
    <w:rsid w:val="00D733F3"/>
    <w:rsid w:val="00D767C4"/>
    <w:rsid w:val="00D77CF5"/>
    <w:rsid w:val="00D8530A"/>
    <w:rsid w:val="00D87BA7"/>
    <w:rsid w:val="00D942C0"/>
    <w:rsid w:val="00D961AC"/>
    <w:rsid w:val="00D967C8"/>
    <w:rsid w:val="00DA16DA"/>
    <w:rsid w:val="00DA22F1"/>
    <w:rsid w:val="00DB02F4"/>
    <w:rsid w:val="00DB4ABB"/>
    <w:rsid w:val="00DB51BE"/>
    <w:rsid w:val="00DC1AD0"/>
    <w:rsid w:val="00DC40E5"/>
    <w:rsid w:val="00DC5196"/>
    <w:rsid w:val="00DC7AAB"/>
    <w:rsid w:val="00DE2226"/>
    <w:rsid w:val="00DE343D"/>
    <w:rsid w:val="00DE3B15"/>
    <w:rsid w:val="00DE401F"/>
    <w:rsid w:val="00DE447D"/>
    <w:rsid w:val="00DE61B1"/>
    <w:rsid w:val="00DE750B"/>
    <w:rsid w:val="00DF2E6B"/>
    <w:rsid w:val="00DF4043"/>
    <w:rsid w:val="00DF4078"/>
    <w:rsid w:val="00E075A8"/>
    <w:rsid w:val="00E0780C"/>
    <w:rsid w:val="00E10AC4"/>
    <w:rsid w:val="00E112A9"/>
    <w:rsid w:val="00E1305B"/>
    <w:rsid w:val="00E13C76"/>
    <w:rsid w:val="00E14372"/>
    <w:rsid w:val="00E15433"/>
    <w:rsid w:val="00E23619"/>
    <w:rsid w:val="00E24D8F"/>
    <w:rsid w:val="00E33B68"/>
    <w:rsid w:val="00E35394"/>
    <w:rsid w:val="00E47878"/>
    <w:rsid w:val="00E5274C"/>
    <w:rsid w:val="00E53F92"/>
    <w:rsid w:val="00E54CB6"/>
    <w:rsid w:val="00E5539B"/>
    <w:rsid w:val="00E56A5B"/>
    <w:rsid w:val="00E63D44"/>
    <w:rsid w:val="00E66855"/>
    <w:rsid w:val="00E700F4"/>
    <w:rsid w:val="00E81A6D"/>
    <w:rsid w:val="00E92CD8"/>
    <w:rsid w:val="00E962C5"/>
    <w:rsid w:val="00EA034E"/>
    <w:rsid w:val="00EA0625"/>
    <w:rsid w:val="00EA0C01"/>
    <w:rsid w:val="00EA3488"/>
    <w:rsid w:val="00EA48B2"/>
    <w:rsid w:val="00EA5FAA"/>
    <w:rsid w:val="00EA7EF0"/>
    <w:rsid w:val="00EB0713"/>
    <w:rsid w:val="00EB2E74"/>
    <w:rsid w:val="00EB4CBD"/>
    <w:rsid w:val="00EB5272"/>
    <w:rsid w:val="00EB5F7D"/>
    <w:rsid w:val="00EC30BF"/>
    <w:rsid w:val="00EC589F"/>
    <w:rsid w:val="00ED5CF3"/>
    <w:rsid w:val="00ED764E"/>
    <w:rsid w:val="00EE065E"/>
    <w:rsid w:val="00EE085C"/>
    <w:rsid w:val="00EE0DEA"/>
    <w:rsid w:val="00EE0FE8"/>
    <w:rsid w:val="00EE1412"/>
    <w:rsid w:val="00EE49FC"/>
    <w:rsid w:val="00EF266A"/>
    <w:rsid w:val="00F015D5"/>
    <w:rsid w:val="00F04AB4"/>
    <w:rsid w:val="00F12F88"/>
    <w:rsid w:val="00F1354A"/>
    <w:rsid w:val="00F13D83"/>
    <w:rsid w:val="00F20564"/>
    <w:rsid w:val="00F23BEC"/>
    <w:rsid w:val="00F33448"/>
    <w:rsid w:val="00F34CC5"/>
    <w:rsid w:val="00F4756D"/>
    <w:rsid w:val="00F47815"/>
    <w:rsid w:val="00F50FDC"/>
    <w:rsid w:val="00F54D56"/>
    <w:rsid w:val="00F54E9B"/>
    <w:rsid w:val="00F57099"/>
    <w:rsid w:val="00F57374"/>
    <w:rsid w:val="00F625AB"/>
    <w:rsid w:val="00F725DC"/>
    <w:rsid w:val="00F72C0B"/>
    <w:rsid w:val="00F72ED1"/>
    <w:rsid w:val="00F83477"/>
    <w:rsid w:val="00F86ADD"/>
    <w:rsid w:val="00F93E9C"/>
    <w:rsid w:val="00F9486C"/>
    <w:rsid w:val="00F97D64"/>
    <w:rsid w:val="00FA42E2"/>
    <w:rsid w:val="00FB0CC0"/>
    <w:rsid w:val="00FB1F2A"/>
    <w:rsid w:val="00FC1CE4"/>
    <w:rsid w:val="00FC2670"/>
    <w:rsid w:val="00FC288C"/>
    <w:rsid w:val="00FD0684"/>
    <w:rsid w:val="00FD085A"/>
    <w:rsid w:val="00FD543C"/>
    <w:rsid w:val="00FD7028"/>
    <w:rsid w:val="00FE2703"/>
    <w:rsid w:val="00FE7F39"/>
    <w:rsid w:val="00FF24B5"/>
    <w:rsid w:val="00FF391A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64E76"/>
  <w15:chartTrackingRefBased/>
  <w15:docId w15:val="{5A96D263-149E-4729-A70D-08212F4F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2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42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42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42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2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2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2CAC"/>
    <w:pPr>
      <w:outlineLvl w:val="5"/>
    </w:pPr>
  </w:style>
  <w:style w:type="paragraph" w:styleId="Heading7">
    <w:name w:val="heading 7"/>
    <w:basedOn w:val="H6"/>
    <w:next w:val="Normal"/>
    <w:qFormat/>
    <w:rsid w:val="00442CAC"/>
    <w:pPr>
      <w:outlineLvl w:val="6"/>
    </w:pPr>
  </w:style>
  <w:style w:type="paragraph" w:styleId="Heading8">
    <w:name w:val="heading 8"/>
    <w:basedOn w:val="Heading1"/>
    <w:next w:val="Normal"/>
    <w:qFormat/>
    <w:rsid w:val="00442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2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42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42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42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42CAC"/>
    <w:pPr>
      <w:ind w:left="1701" w:hanging="1701"/>
    </w:pPr>
  </w:style>
  <w:style w:type="paragraph" w:styleId="TOC4">
    <w:name w:val="toc 4"/>
    <w:basedOn w:val="TOC3"/>
    <w:semiHidden/>
    <w:rsid w:val="00442CAC"/>
    <w:pPr>
      <w:ind w:left="1418" w:hanging="1418"/>
    </w:pPr>
  </w:style>
  <w:style w:type="paragraph" w:styleId="TOC3">
    <w:name w:val="toc 3"/>
    <w:basedOn w:val="TOC2"/>
    <w:semiHidden/>
    <w:rsid w:val="00442CAC"/>
    <w:pPr>
      <w:ind w:left="1134" w:hanging="1134"/>
    </w:pPr>
  </w:style>
  <w:style w:type="paragraph" w:styleId="TOC2">
    <w:name w:val="toc 2"/>
    <w:basedOn w:val="TOC1"/>
    <w:semiHidden/>
    <w:rsid w:val="00442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2CAC"/>
    <w:pPr>
      <w:ind w:left="284"/>
    </w:pPr>
  </w:style>
  <w:style w:type="paragraph" w:styleId="Index1">
    <w:name w:val="index 1"/>
    <w:basedOn w:val="Normal"/>
    <w:semiHidden/>
    <w:rsid w:val="00442CAC"/>
    <w:pPr>
      <w:keepLines/>
      <w:spacing w:after="0"/>
    </w:pPr>
  </w:style>
  <w:style w:type="paragraph" w:customStyle="1" w:styleId="ZH">
    <w:name w:val="ZH"/>
    <w:rsid w:val="00442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42CAC"/>
    <w:pPr>
      <w:outlineLvl w:val="9"/>
    </w:pPr>
  </w:style>
  <w:style w:type="paragraph" w:styleId="ListNumber2">
    <w:name w:val="List Number 2"/>
    <w:basedOn w:val="ListNumber"/>
    <w:semiHidden/>
    <w:rsid w:val="00442CA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2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42CAC"/>
    <w:rPr>
      <w:b/>
      <w:position w:val="6"/>
      <w:sz w:val="16"/>
    </w:rPr>
  </w:style>
  <w:style w:type="paragraph" w:styleId="FootnoteText">
    <w:name w:val="footnote text"/>
    <w:basedOn w:val="Normal"/>
    <w:semiHidden/>
    <w:rsid w:val="00442C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42CAC"/>
    <w:rPr>
      <w:b/>
    </w:rPr>
  </w:style>
  <w:style w:type="paragraph" w:customStyle="1" w:styleId="TAC">
    <w:name w:val="TAC"/>
    <w:basedOn w:val="TAL"/>
    <w:link w:val="TACChar"/>
    <w:rsid w:val="00442CAC"/>
    <w:pPr>
      <w:jc w:val="center"/>
    </w:pPr>
  </w:style>
  <w:style w:type="paragraph" w:customStyle="1" w:styleId="TF">
    <w:name w:val="TF"/>
    <w:basedOn w:val="TH"/>
    <w:rsid w:val="00442CAC"/>
    <w:pPr>
      <w:keepNext w:val="0"/>
      <w:spacing w:before="0" w:after="240"/>
    </w:pPr>
  </w:style>
  <w:style w:type="paragraph" w:customStyle="1" w:styleId="NO">
    <w:name w:val="NO"/>
    <w:basedOn w:val="Normal"/>
    <w:rsid w:val="00442CAC"/>
    <w:pPr>
      <w:keepLines/>
      <w:ind w:left="1135" w:hanging="851"/>
    </w:pPr>
  </w:style>
  <w:style w:type="paragraph" w:styleId="TOC9">
    <w:name w:val="toc 9"/>
    <w:basedOn w:val="TOC8"/>
    <w:semiHidden/>
    <w:rsid w:val="00442CAC"/>
    <w:pPr>
      <w:ind w:left="1418" w:hanging="1418"/>
    </w:pPr>
  </w:style>
  <w:style w:type="paragraph" w:customStyle="1" w:styleId="EX">
    <w:name w:val="EX"/>
    <w:basedOn w:val="Normal"/>
    <w:rsid w:val="00442CAC"/>
    <w:pPr>
      <w:keepLines/>
      <w:ind w:left="1702" w:hanging="1418"/>
    </w:pPr>
  </w:style>
  <w:style w:type="paragraph" w:customStyle="1" w:styleId="FP">
    <w:name w:val="FP"/>
    <w:basedOn w:val="Normal"/>
    <w:rsid w:val="00442CAC"/>
    <w:pPr>
      <w:spacing w:after="0"/>
    </w:pPr>
  </w:style>
  <w:style w:type="paragraph" w:customStyle="1" w:styleId="LD">
    <w:name w:val="LD"/>
    <w:rsid w:val="00442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42CAC"/>
    <w:pPr>
      <w:spacing w:after="0"/>
    </w:pPr>
  </w:style>
  <w:style w:type="paragraph" w:customStyle="1" w:styleId="EW">
    <w:name w:val="EW"/>
    <w:basedOn w:val="EX"/>
    <w:rsid w:val="00442CAC"/>
    <w:pPr>
      <w:spacing w:after="0"/>
    </w:pPr>
  </w:style>
  <w:style w:type="paragraph" w:styleId="TOC6">
    <w:name w:val="toc 6"/>
    <w:basedOn w:val="TOC5"/>
    <w:next w:val="Normal"/>
    <w:semiHidden/>
    <w:rsid w:val="00442CAC"/>
    <w:pPr>
      <w:ind w:left="1985" w:hanging="1985"/>
    </w:pPr>
  </w:style>
  <w:style w:type="paragraph" w:styleId="TOC7">
    <w:name w:val="toc 7"/>
    <w:basedOn w:val="TOC6"/>
    <w:next w:val="Normal"/>
    <w:semiHidden/>
    <w:rsid w:val="00442CAC"/>
    <w:pPr>
      <w:ind w:left="2268" w:hanging="2268"/>
    </w:pPr>
  </w:style>
  <w:style w:type="paragraph" w:styleId="ListBullet2">
    <w:name w:val="List Bullet 2"/>
    <w:basedOn w:val="ListBullet"/>
    <w:semiHidden/>
    <w:rsid w:val="00442CAC"/>
    <w:pPr>
      <w:ind w:left="851"/>
    </w:pPr>
  </w:style>
  <w:style w:type="paragraph" w:styleId="ListBullet3">
    <w:name w:val="List Bullet 3"/>
    <w:basedOn w:val="ListBullet2"/>
    <w:semiHidden/>
    <w:rsid w:val="00442CAC"/>
    <w:pPr>
      <w:ind w:left="1135"/>
    </w:pPr>
  </w:style>
  <w:style w:type="paragraph" w:styleId="ListNumber">
    <w:name w:val="List Number"/>
    <w:basedOn w:val="List"/>
    <w:semiHidden/>
    <w:rsid w:val="00442CAC"/>
  </w:style>
  <w:style w:type="paragraph" w:customStyle="1" w:styleId="EQ">
    <w:name w:val="EQ"/>
    <w:basedOn w:val="Normal"/>
    <w:next w:val="Normal"/>
    <w:link w:val="EQChar"/>
    <w:rsid w:val="00442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42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2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2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42CAC"/>
    <w:pPr>
      <w:jc w:val="right"/>
    </w:pPr>
  </w:style>
  <w:style w:type="paragraph" w:customStyle="1" w:styleId="H6">
    <w:name w:val="H6"/>
    <w:basedOn w:val="Heading5"/>
    <w:next w:val="Normal"/>
    <w:rsid w:val="00442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42CAC"/>
    <w:pPr>
      <w:ind w:left="851" w:hanging="851"/>
    </w:pPr>
  </w:style>
  <w:style w:type="paragraph" w:customStyle="1" w:styleId="TAL">
    <w:name w:val="TAL"/>
    <w:basedOn w:val="Normal"/>
    <w:rsid w:val="00442C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2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42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42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42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42CAC"/>
    <w:pPr>
      <w:framePr w:wrap="notBeside" w:y="16161"/>
    </w:pPr>
  </w:style>
  <w:style w:type="character" w:customStyle="1" w:styleId="ZGSM">
    <w:name w:val="ZGSM"/>
    <w:rsid w:val="00442CAC"/>
  </w:style>
  <w:style w:type="paragraph" w:styleId="List2">
    <w:name w:val="List 2"/>
    <w:basedOn w:val="List"/>
    <w:semiHidden/>
    <w:rsid w:val="00442CAC"/>
    <w:pPr>
      <w:ind w:left="851"/>
    </w:pPr>
  </w:style>
  <w:style w:type="paragraph" w:customStyle="1" w:styleId="ZG">
    <w:name w:val="ZG"/>
    <w:rsid w:val="00442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42CAC"/>
    <w:pPr>
      <w:ind w:left="1135"/>
    </w:pPr>
  </w:style>
  <w:style w:type="paragraph" w:styleId="List4">
    <w:name w:val="List 4"/>
    <w:basedOn w:val="List3"/>
    <w:semiHidden/>
    <w:rsid w:val="00442CAC"/>
    <w:pPr>
      <w:ind w:left="1418"/>
    </w:pPr>
  </w:style>
  <w:style w:type="paragraph" w:styleId="List5">
    <w:name w:val="List 5"/>
    <w:basedOn w:val="List4"/>
    <w:semiHidden/>
    <w:rsid w:val="00442CAC"/>
    <w:pPr>
      <w:ind w:left="1702"/>
    </w:pPr>
  </w:style>
  <w:style w:type="paragraph" w:customStyle="1" w:styleId="EditorsNote">
    <w:name w:val="Editor's Note"/>
    <w:basedOn w:val="NO"/>
    <w:rsid w:val="00442CAC"/>
    <w:rPr>
      <w:color w:val="FF0000"/>
    </w:rPr>
  </w:style>
  <w:style w:type="paragraph" w:styleId="List">
    <w:name w:val="List"/>
    <w:basedOn w:val="Normal"/>
    <w:semiHidden/>
    <w:rsid w:val="00442CAC"/>
    <w:pPr>
      <w:ind w:left="568" w:hanging="284"/>
    </w:pPr>
  </w:style>
  <w:style w:type="paragraph" w:styleId="ListBullet">
    <w:name w:val="List Bullet"/>
    <w:basedOn w:val="List"/>
    <w:semiHidden/>
    <w:rsid w:val="00442CAC"/>
  </w:style>
  <w:style w:type="paragraph" w:styleId="ListBullet4">
    <w:name w:val="List Bullet 4"/>
    <w:basedOn w:val="ListBullet3"/>
    <w:semiHidden/>
    <w:rsid w:val="00442CAC"/>
    <w:pPr>
      <w:ind w:left="1418"/>
    </w:pPr>
  </w:style>
  <w:style w:type="paragraph" w:styleId="ListBullet5">
    <w:name w:val="List Bullet 5"/>
    <w:basedOn w:val="ListBullet4"/>
    <w:semiHidden/>
    <w:rsid w:val="00442CAC"/>
    <w:pPr>
      <w:ind w:left="1702"/>
    </w:pPr>
  </w:style>
  <w:style w:type="paragraph" w:customStyle="1" w:styleId="B1">
    <w:name w:val="B1"/>
    <w:basedOn w:val="List"/>
    <w:rsid w:val="00442CAC"/>
  </w:style>
  <w:style w:type="paragraph" w:customStyle="1" w:styleId="B2">
    <w:name w:val="B2"/>
    <w:basedOn w:val="List2"/>
    <w:rsid w:val="00442CAC"/>
  </w:style>
  <w:style w:type="paragraph" w:customStyle="1" w:styleId="B3">
    <w:name w:val="B3"/>
    <w:basedOn w:val="List3"/>
    <w:rsid w:val="00442CAC"/>
  </w:style>
  <w:style w:type="paragraph" w:customStyle="1" w:styleId="B4">
    <w:name w:val="B4"/>
    <w:basedOn w:val="List4"/>
    <w:rsid w:val="00442CAC"/>
  </w:style>
  <w:style w:type="paragraph" w:customStyle="1" w:styleId="B5">
    <w:name w:val="B5"/>
    <w:basedOn w:val="List5"/>
    <w:rsid w:val="00442CAC"/>
  </w:style>
  <w:style w:type="paragraph" w:styleId="Footer">
    <w:name w:val="footer"/>
    <w:basedOn w:val="Header"/>
    <w:semiHidden/>
    <w:rsid w:val="00442CAC"/>
    <w:pPr>
      <w:jc w:val="center"/>
    </w:pPr>
    <w:rPr>
      <w:i/>
    </w:rPr>
  </w:style>
  <w:style w:type="paragraph" w:customStyle="1" w:styleId="ZTD">
    <w:name w:val="ZTD"/>
    <w:basedOn w:val="ZB"/>
    <w:rsid w:val="00442CA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42CA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42CAC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42CAC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42C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CA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CA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CAC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C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CAC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42C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CAC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42CAC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42CAC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42CAC"/>
    <w:pPr>
      <w:ind w:left="720"/>
      <w:contextualSpacing/>
    </w:pPr>
  </w:style>
  <w:style w:type="paragraph" w:customStyle="1" w:styleId="a">
    <w:name w:val="样式 页眉"/>
    <w:basedOn w:val="Header"/>
    <w:link w:val="Char"/>
    <w:rsid w:val="00442CAC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42CAC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42C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42CA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42CAC"/>
    <w:rPr>
      <w:color w:val="808080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B6978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rsid w:val="004B6978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67D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ehtine\Documents\RFSIM\RFSIM-TODO\2020-04-20--24%20RAN4-94bis%20e-meeting\FR1%20contig%20CA\R4-xxxxxxx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27A5-7FFF-44CC-B84F-B8EEDA2A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R4-xxxxxxx template.dotx</Template>
  <TotalTime>3676</TotalTime>
  <Pages>5</Pages>
  <Words>1772</Words>
  <Characters>10102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Lehtinen, Vesa (EXT - FI/Espoo)</dc:creator>
  <cp:keywords>ESA, style sheet, Winword</cp:keywords>
  <dc:description/>
  <cp:lastModifiedBy>Lehtinen, Vesa (EXT - FI/Espoo)</cp:lastModifiedBy>
  <cp:revision>506</cp:revision>
  <cp:lastPrinted>1899-12-31T22:00:00Z</cp:lastPrinted>
  <dcterms:created xsi:type="dcterms:W3CDTF">2020-02-27T10:18:00Z</dcterms:created>
  <dcterms:modified xsi:type="dcterms:W3CDTF">2020-04-10T22:13:00Z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2019-10-03T12:31:28.7743171Z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ActionId">
    <vt:lpwstr>d809f080-1321-4497-ba97-8442f929ec8f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